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C14E4">
      <w:pPr>
        <w:spacing w:line="360" w:lineRule="auto"/>
        <w:jc w:val="center"/>
        <w:rPr>
          <w:rFonts w:ascii="宋体" w:hAnsi="宋体" w:eastAsia="宋体"/>
          <w:b/>
          <w:sz w:val="32"/>
          <w:szCs w:val="24"/>
        </w:rPr>
      </w:pPr>
      <w:r>
        <w:rPr>
          <w:rFonts w:hint="eastAsia" w:ascii="宋体" w:hAnsi="宋体" w:eastAsia="宋体"/>
          <w:b/>
          <w:sz w:val="32"/>
          <w:szCs w:val="24"/>
        </w:rPr>
        <w:t>珠海市中西医结合医院仓库租赁服务采购项目需求</w:t>
      </w:r>
    </w:p>
    <w:p w14:paraId="7E40BAE2">
      <w:pPr>
        <w:autoSpaceDE w:val="0"/>
        <w:autoSpaceDN w:val="0"/>
        <w:adjustRightInd w:val="0"/>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一、概况</w:t>
      </w:r>
    </w:p>
    <w:p w14:paraId="7D38AB59">
      <w:pPr>
        <w:spacing w:line="360" w:lineRule="auto"/>
        <w:rPr>
          <w:rFonts w:ascii="宋体" w:hAnsi="宋体" w:eastAsia="宋体"/>
          <w:sz w:val="24"/>
          <w:szCs w:val="24"/>
        </w:rPr>
      </w:pPr>
      <w:r>
        <w:rPr>
          <w:rFonts w:ascii="宋体" w:hAnsi="宋体" w:eastAsia="宋体" w:cs="宋体"/>
          <w:kern w:val="0"/>
          <w:sz w:val="24"/>
          <w:szCs w:val="24"/>
        </w:rPr>
        <w:t>1</w:t>
      </w:r>
      <w:r>
        <w:rPr>
          <w:rFonts w:hint="eastAsia" w:ascii="宋体" w:hAnsi="宋体" w:eastAsia="宋体" w:cs="宋体"/>
          <w:kern w:val="0"/>
          <w:sz w:val="24"/>
          <w:szCs w:val="24"/>
        </w:rPr>
        <w:t>、项目名称：</w:t>
      </w:r>
      <w:r>
        <w:rPr>
          <w:rFonts w:ascii="微软雅黑" w:hAnsi="微软雅黑" w:eastAsia="微软雅黑" w:cs="微软雅黑"/>
          <w:color w:val="333333"/>
          <w:sz w:val="24"/>
          <w:szCs w:val="24"/>
          <w:shd w:val="clear" w:color="auto" w:fill="FFFFFF"/>
        </w:rPr>
        <w:t>珠海市中西医结合医院仓库租赁服务采购项目</w:t>
      </w:r>
    </w:p>
    <w:p w14:paraId="21633292">
      <w:pPr>
        <w:autoSpaceDE w:val="0"/>
        <w:autoSpaceDN w:val="0"/>
        <w:adjustRightInd w:val="0"/>
        <w:spacing w:line="360" w:lineRule="auto"/>
        <w:jc w:val="left"/>
        <w:rPr>
          <w:rFonts w:ascii="宋体" w:hAnsi="宋体" w:eastAsia="宋体"/>
          <w:sz w:val="24"/>
          <w:szCs w:val="24"/>
        </w:rPr>
      </w:pPr>
      <w:r>
        <w:rPr>
          <w:rFonts w:ascii="宋体" w:hAnsi="宋体" w:eastAsia="宋体" w:cs="宋体"/>
          <w:kern w:val="0"/>
          <w:sz w:val="24"/>
          <w:szCs w:val="24"/>
        </w:rPr>
        <w:t>2</w:t>
      </w:r>
      <w:r>
        <w:rPr>
          <w:rFonts w:hint="eastAsia" w:ascii="宋体" w:hAnsi="宋体" w:eastAsia="宋体" w:cs="宋体"/>
          <w:kern w:val="0"/>
          <w:sz w:val="24"/>
          <w:szCs w:val="24"/>
        </w:rPr>
        <w:t>、服务范围</w:t>
      </w:r>
      <w:r>
        <w:rPr>
          <w:rFonts w:hint="eastAsia" w:ascii="宋体" w:hAnsi="宋体" w:eastAsia="宋体"/>
          <w:sz w:val="24"/>
          <w:szCs w:val="24"/>
        </w:rPr>
        <w:t>：珠海市中西医结合医院</w:t>
      </w:r>
      <w:r>
        <w:rPr>
          <w:rFonts w:hint="eastAsia" w:ascii="宋体" w:hAnsi="宋体" w:eastAsia="宋体"/>
          <w:sz w:val="24"/>
          <w:szCs w:val="24"/>
          <w:lang w:val="en-US" w:eastAsia="zh-CN"/>
        </w:rPr>
        <w:t>已报废待处置</w:t>
      </w:r>
      <w:r>
        <w:rPr>
          <w:rFonts w:hint="eastAsia" w:ascii="宋体" w:hAnsi="宋体" w:eastAsia="宋体"/>
          <w:sz w:val="24"/>
          <w:szCs w:val="24"/>
        </w:rPr>
        <w:t>固定资产存放</w:t>
      </w:r>
    </w:p>
    <w:p w14:paraId="7DDBF381">
      <w:pPr>
        <w:pStyle w:val="2"/>
        <w:spacing w:line="360" w:lineRule="auto"/>
        <w:ind w:firstLine="0" w:firstLineChars="0"/>
        <w:rPr>
          <w:rFonts w:ascii="宋体" w:hAnsi="宋体" w:eastAsia="宋体"/>
          <w:sz w:val="24"/>
          <w:lang w:val="en-US"/>
        </w:rPr>
      </w:pPr>
      <w:r>
        <w:rPr>
          <w:rFonts w:hint="eastAsia" w:ascii="宋体" w:hAnsi="宋体" w:eastAsia="宋体"/>
          <w:sz w:val="24"/>
          <w:lang w:val="en-US"/>
        </w:rPr>
        <w:t>3、面积要求：</w:t>
      </w:r>
      <w:r>
        <w:rPr>
          <w:rFonts w:hint="eastAsia" w:ascii="宋体" w:hAnsi="宋体" w:eastAsia="宋体"/>
          <w:sz w:val="24"/>
          <w:lang w:val="en-US" w:eastAsia="zh-CN"/>
        </w:rPr>
        <w:t>≥</w:t>
      </w:r>
      <w:r>
        <w:rPr>
          <w:rFonts w:hint="eastAsia" w:ascii="宋体" w:hAnsi="宋体" w:eastAsia="宋体"/>
          <w:sz w:val="24"/>
          <w:lang w:val="en-US"/>
        </w:rPr>
        <w:t>2400㎡</w:t>
      </w:r>
    </w:p>
    <w:p w14:paraId="09DE7EE7">
      <w:pPr>
        <w:pStyle w:val="2"/>
        <w:spacing w:line="360" w:lineRule="auto"/>
        <w:ind w:firstLine="0" w:firstLineChars="0"/>
        <w:rPr>
          <w:rFonts w:hint="eastAsia" w:ascii="宋体" w:hAnsi="宋体" w:eastAsia="宋体"/>
          <w:sz w:val="24"/>
          <w:lang w:val="en-US"/>
        </w:rPr>
      </w:pPr>
      <w:r>
        <w:rPr>
          <w:rFonts w:hint="eastAsia" w:ascii="宋体" w:hAnsi="宋体" w:eastAsia="宋体"/>
          <w:sz w:val="24"/>
          <w:lang w:val="en-US"/>
        </w:rPr>
        <w:t>4、租赁时间：202</w:t>
      </w:r>
      <w:r>
        <w:rPr>
          <w:rFonts w:hint="eastAsia" w:ascii="宋体" w:hAnsi="宋体" w:eastAsia="宋体"/>
          <w:sz w:val="24"/>
          <w:lang w:val="en-US" w:eastAsia="zh-CN"/>
        </w:rPr>
        <w:t>7</w:t>
      </w:r>
      <w:r>
        <w:rPr>
          <w:rFonts w:hint="eastAsia" w:ascii="宋体" w:hAnsi="宋体" w:eastAsia="宋体"/>
          <w:sz w:val="24"/>
          <w:lang w:val="en-US"/>
        </w:rPr>
        <w:t>年1月10日起</w:t>
      </w:r>
    </w:p>
    <w:p w14:paraId="77E4AB3E">
      <w:pPr>
        <w:pStyle w:val="2"/>
        <w:spacing w:line="360" w:lineRule="auto"/>
        <w:ind w:firstLine="0" w:firstLineChars="0"/>
        <w:rPr>
          <w:rFonts w:ascii="宋体" w:hAnsi="宋体" w:eastAsia="宋体"/>
          <w:sz w:val="24"/>
          <w:lang w:val="en-US"/>
        </w:rPr>
      </w:pPr>
      <w:r>
        <w:rPr>
          <w:rFonts w:hint="eastAsia" w:ascii="宋体" w:hAnsi="宋体" w:eastAsia="宋体"/>
          <w:sz w:val="24"/>
          <w:lang w:val="en-US"/>
        </w:rPr>
        <w:t>5、租赁期限：1年</w:t>
      </w:r>
    </w:p>
    <w:p w14:paraId="0FD5D052">
      <w:pPr>
        <w:widowControl/>
        <w:tabs>
          <w:tab w:val="left" w:pos="780"/>
        </w:tabs>
        <w:adjustRightInd w:val="0"/>
        <w:snapToGrid w:val="0"/>
        <w:spacing w:line="360" w:lineRule="auto"/>
        <w:rPr>
          <w:rFonts w:ascii="宋体" w:hAnsi="宋体" w:eastAsia="宋体" w:cs="宋体"/>
          <w:kern w:val="0"/>
          <w:sz w:val="24"/>
          <w:szCs w:val="24"/>
        </w:rPr>
      </w:pPr>
      <w:r>
        <w:rPr>
          <w:rFonts w:hint="eastAsia" w:ascii="宋体" w:hAnsi="宋体" w:eastAsia="宋体" w:cs="宋体"/>
          <w:kern w:val="0"/>
          <w:sz w:val="24"/>
          <w:szCs w:val="24"/>
        </w:rPr>
        <w:t>6、项目</w:t>
      </w:r>
      <w:r>
        <w:rPr>
          <w:rFonts w:hint="eastAsia" w:ascii="宋体" w:hAnsi="宋体" w:eastAsia="宋体" w:cs="宋体"/>
          <w:kern w:val="0"/>
          <w:sz w:val="24"/>
          <w:szCs w:val="24"/>
          <w:lang w:val="en-US" w:eastAsia="zh-CN"/>
        </w:rPr>
        <w:t>预算价</w:t>
      </w:r>
      <w:r>
        <w:rPr>
          <w:rFonts w:hint="eastAsia" w:ascii="宋体" w:hAnsi="宋体" w:eastAsia="宋体" w:cs="宋体"/>
          <w:kern w:val="0"/>
          <w:sz w:val="24"/>
          <w:szCs w:val="24"/>
        </w:rPr>
        <w:t>：339500元（含税含管理费）</w:t>
      </w:r>
    </w:p>
    <w:p w14:paraId="61A45585">
      <w:pPr>
        <w:pStyle w:val="2"/>
        <w:ind w:firstLine="0" w:firstLineChars="0"/>
        <w:rPr>
          <w:lang w:val="en-US"/>
        </w:rPr>
      </w:pPr>
      <w:r>
        <w:rPr>
          <w:rFonts w:hint="eastAsia" w:ascii="宋体" w:hAnsi="宋体" w:eastAsia="宋体" w:cs="宋体"/>
          <w:sz w:val="24"/>
          <w:lang w:val="en-US"/>
        </w:rPr>
        <w:t>7、支付方式：租金按季度支付</w:t>
      </w:r>
    </w:p>
    <w:p w14:paraId="5BEDE0FF">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二、资质要求</w:t>
      </w:r>
    </w:p>
    <w:p w14:paraId="0CBAA1DA">
      <w:pPr>
        <w:pStyle w:val="2"/>
        <w:spacing w:line="360" w:lineRule="auto"/>
        <w:ind w:firstLine="0" w:firstLineChars="0"/>
        <w:rPr>
          <w:rFonts w:hint="default" w:ascii="宋体" w:hAnsi="宋体" w:eastAsia="宋体"/>
          <w:sz w:val="24"/>
          <w:lang w:val="en-US" w:eastAsia="zh-CN"/>
        </w:rPr>
      </w:pPr>
      <w:r>
        <w:rPr>
          <w:rFonts w:hint="eastAsia" w:ascii="宋体" w:hAnsi="宋体" w:eastAsia="宋体"/>
          <w:sz w:val="24"/>
          <w:lang w:val="en-US" w:eastAsia="zh-CN"/>
        </w:rPr>
        <w:t>1、具备《政府采购法》第二十二条规定的条件,且提供以下证明文件：</w:t>
      </w:r>
    </w:p>
    <w:p w14:paraId="37FC8C59">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（1）具有独立承担民事责任的能力：在中华人民共和国境内注册的法人或其他组织或自然人，投标时提交有效的营业执照（或事业法人登记证或身份证等相关证明）副本复印件。</w:t>
      </w:r>
    </w:p>
    <w:p w14:paraId="1B1888FF">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（2）具有良好的商业信誉和健全的财务会计制度：提供《资格条件承诺函》。</w:t>
      </w:r>
    </w:p>
    <w:p w14:paraId="2BA36EBF">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（3）履行合同所必须的设备和专业技术能力：提供《资格条件承诺函》。</w:t>
      </w:r>
    </w:p>
    <w:p w14:paraId="3CCE7D3E">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（4）有依法缴纳税收和社会保障资金的良好记录：提供《资格条件承诺函》。</w:t>
      </w:r>
    </w:p>
    <w:p w14:paraId="72869495">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（5）参加采购活动前3年内，在经营活动中没有重大违法记录：重大违法记录，是指供应商因违法经营受到刑事处罚或者责令停产停业、吊销许可证或者执照、较大数额罚款等行政处罚。（根据财库〔2022〕3 号文，较大数额罚款认定为200万元以上的罚款，法律、行政法规以及国务院有关部门明确规定相关领域“较大数额罚款”标准高于200万元的，从其规定）。提供《资格条件承诺函》。</w:t>
      </w:r>
    </w:p>
    <w:p w14:paraId="21D35216">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2.落实政府采购政策需满足的资格要求：本采购属于专门面向中小企业采购的项目，投标文件中需提供《中小企业声明函》或者属于监狱企业的证明材料或者《残疾人福利性单位声明函》。（中小企业划型行业为：租赁和商务服务业）</w:t>
      </w:r>
    </w:p>
    <w:p w14:paraId="43C0442C">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3.本项目的特定资格要求：</w:t>
      </w:r>
    </w:p>
    <w:p w14:paraId="2FE16D72">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1）投标人未被列入“信用中国”网站(www.creditchina.gov.cn)中的“失信被执行人”或“重大税收违法案件当事人名单（即税收违法黑名单）”或“政府采购严重违法失信名单”记录名单内；在信用中国（广东珠海）网站（http：//credit.zhuhai.gov.cn）中不存在近三年因违法经营受到责令停产停业、吊销许可证或者执照、较大数额罚款等重大违法记录；不处于中国政府采购网(www.ccgp.gov.cn)“政府采购严重违法失信行为信息记录”中的禁止参加政府采购活动期间；以采购代理机构于投标截止日至投标截止期间在上述网站查询结果为准，如相关失信记录已失效，投标人需提供相关证明资料。</w:t>
      </w:r>
    </w:p>
    <w:p w14:paraId="514D0F5C">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（2）单位负责人为同一人或者存在直接控股、管理关系的不同供应商，不得参加同一包号投标或者未划分包号的同一招标项目投标。 (投标人出具资格声明函)</w:t>
      </w:r>
    </w:p>
    <w:p w14:paraId="500EC7A3">
      <w:pPr>
        <w:pStyle w:val="2"/>
        <w:spacing w:line="360" w:lineRule="auto"/>
        <w:ind w:firstLine="0" w:firstLineChars="0"/>
        <w:rPr>
          <w:rFonts w:hint="eastAsia" w:ascii="宋体" w:hAnsi="宋体" w:eastAsia="宋体"/>
          <w:sz w:val="24"/>
          <w:lang w:val="en-US" w:eastAsia="zh-CN"/>
        </w:rPr>
      </w:pPr>
      <w:r>
        <w:rPr>
          <w:rFonts w:hint="eastAsia" w:ascii="宋体" w:hAnsi="宋体" w:eastAsia="宋体"/>
          <w:sz w:val="24"/>
          <w:lang w:val="en-US" w:eastAsia="zh-CN"/>
        </w:rPr>
        <w:t>（3）本项目不接受联合体投标，不允许转包、分包。(投标人出具资格声明函)</w:t>
      </w:r>
    </w:p>
    <w:p w14:paraId="610B9C2A">
      <w:pPr>
        <w:pStyle w:val="2"/>
        <w:numPr>
          <w:ilvl w:val="0"/>
          <w:numId w:val="1"/>
        </w:numPr>
        <w:ind w:firstLine="0" w:firstLineChars="0"/>
        <w:rPr>
          <w:rFonts w:ascii="宋体" w:hAnsi="宋体" w:eastAsia="宋体" w:cs="宋体"/>
          <w:sz w:val="24"/>
          <w:lang w:val="en-US"/>
        </w:rPr>
      </w:pPr>
      <w:r>
        <w:rPr>
          <w:rFonts w:hint="eastAsia" w:cs="宋体"/>
          <w:sz w:val="24"/>
          <w:lang w:val="en-US"/>
        </w:rPr>
        <w:t>服务</w:t>
      </w:r>
      <w:r>
        <w:rPr>
          <w:rFonts w:hint="eastAsia" w:ascii="宋体" w:hAnsi="宋体" w:eastAsia="宋体" w:cs="宋体"/>
          <w:sz w:val="24"/>
          <w:lang w:val="en-US"/>
        </w:rPr>
        <w:t>要求:</w:t>
      </w:r>
    </w:p>
    <w:p w14:paraId="2421A984">
      <w:pPr>
        <w:pStyle w:val="2"/>
        <w:shd w:val="clear" w:color="auto" w:fill="FFFFFF" w:themeFill="background1"/>
        <w:ind w:firstLine="480"/>
        <w:rPr>
          <w:rFonts w:ascii="宋体" w:hAnsi="宋体" w:eastAsia="宋体" w:cs="宋体"/>
          <w:sz w:val="24"/>
          <w:highlight w:val="none"/>
          <w:lang w:val="en-US"/>
        </w:rPr>
      </w:pPr>
      <w:r>
        <w:rPr>
          <w:rFonts w:hint="eastAsia" w:cs="宋体"/>
          <w:sz w:val="24"/>
          <w:highlight w:val="none"/>
          <w:shd w:val="clear" w:color="auto" w:fill="FFFFFF" w:themeFill="background1"/>
          <w:lang w:val="en-US"/>
        </w:rPr>
        <w:t>1、</w:t>
      </w:r>
      <w:r>
        <w:rPr>
          <w:rFonts w:hint="eastAsia" w:ascii="宋体" w:hAnsi="宋体" w:eastAsia="宋体" w:cs="宋体"/>
          <w:sz w:val="24"/>
          <w:highlight w:val="none"/>
          <w:shd w:val="clear" w:color="auto" w:fill="FFFFFF" w:themeFill="background1"/>
          <w:lang w:val="en-US"/>
        </w:rPr>
        <w:t>楼层承重必须满足</w:t>
      </w:r>
      <w:r>
        <w:rPr>
          <w:rFonts w:hint="eastAsia" w:ascii="宋体" w:hAnsi="宋体" w:eastAsia="宋体"/>
          <w:sz w:val="24"/>
          <w:highlight w:val="none"/>
          <w:shd w:val="clear" w:color="auto" w:fill="FFFFFF" w:themeFill="background1"/>
        </w:rPr>
        <w:t>珠海市中西医结合医院固定资产存放</w:t>
      </w:r>
      <w:r>
        <w:rPr>
          <w:rFonts w:hint="eastAsia" w:ascii="宋体" w:hAnsi="宋体" w:eastAsia="宋体"/>
          <w:sz w:val="24"/>
          <w:highlight w:val="none"/>
          <w:shd w:val="clear" w:color="auto" w:fill="FFFFFF" w:themeFill="background1"/>
          <w:lang w:val="en-US" w:eastAsia="zh-CN"/>
        </w:rPr>
        <w:t>(楼层承重每平米≥800公斤</w:t>
      </w:r>
      <w:r>
        <w:rPr>
          <w:rFonts w:hint="eastAsia" w:ascii="宋体" w:hAnsi="宋体" w:eastAsia="宋体"/>
          <w:sz w:val="24"/>
          <w:highlight w:val="none"/>
          <w:shd w:val="clear" w:color="auto" w:fill="FFFFFF" w:themeFill="background1"/>
        </w:rPr>
        <w:t>（详见附件一（包括但不限于））</w:t>
      </w:r>
    </w:p>
    <w:p w14:paraId="0DC1932B">
      <w:pPr>
        <w:pStyle w:val="2"/>
        <w:ind w:firstLine="480"/>
        <w:rPr>
          <w:rFonts w:ascii="宋体" w:hAnsi="宋体" w:eastAsia="宋体"/>
          <w:sz w:val="24"/>
          <w:highlight w:val="none"/>
        </w:rPr>
      </w:pPr>
      <w:r>
        <w:rPr>
          <w:rFonts w:hint="eastAsia" w:cs="宋体"/>
          <w:sz w:val="24"/>
          <w:highlight w:val="none"/>
          <w:lang w:val="en-US"/>
        </w:rPr>
        <w:t>2、</w:t>
      </w:r>
      <w:r>
        <w:rPr>
          <w:rFonts w:hint="eastAsia" w:ascii="宋体" w:hAnsi="宋体" w:eastAsia="宋体" w:cs="宋体"/>
          <w:sz w:val="24"/>
          <w:highlight w:val="none"/>
          <w:u w:val="single"/>
          <w:lang w:val="en-US"/>
        </w:rPr>
        <w:t>电梯尺寸</w:t>
      </w:r>
      <w:r>
        <w:rPr>
          <w:rFonts w:hint="eastAsia" w:ascii="宋体" w:hAnsi="宋体" w:eastAsia="宋体" w:cs="宋体"/>
          <w:sz w:val="24"/>
          <w:highlight w:val="none"/>
          <w:lang w:val="en-US"/>
        </w:rPr>
        <w:t>满足</w:t>
      </w:r>
      <w:r>
        <w:rPr>
          <w:rFonts w:hint="eastAsia" w:ascii="宋体" w:hAnsi="宋体" w:eastAsia="宋体"/>
          <w:sz w:val="24"/>
          <w:highlight w:val="none"/>
        </w:rPr>
        <w:t>珠海市中西医结合医院固定资产存放</w:t>
      </w:r>
      <w:r>
        <w:rPr>
          <w:rFonts w:hint="eastAsia" w:ascii="宋体" w:hAnsi="宋体" w:eastAsia="宋体"/>
          <w:sz w:val="24"/>
          <w:highlight w:val="none"/>
          <w:lang w:eastAsia="zh-CN"/>
        </w:rPr>
        <w:t>，</w:t>
      </w:r>
      <w:r>
        <w:rPr>
          <w:rFonts w:hint="eastAsia" w:ascii="宋体" w:hAnsi="宋体" w:eastAsia="宋体"/>
          <w:sz w:val="24"/>
          <w:highlight w:val="none"/>
          <w:lang w:val="en-US" w:eastAsia="zh-CN"/>
        </w:rPr>
        <w:t>电梯承重≥3吨，轿厢尺寸≥2.4m*2.4m</w:t>
      </w:r>
      <w:r>
        <w:rPr>
          <w:rFonts w:hint="eastAsia" w:ascii="宋体" w:hAnsi="宋体" w:eastAsia="宋体"/>
          <w:sz w:val="24"/>
          <w:highlight w:val="none"/>
        </w:rPr>
        <w:t>。</w:t>
      </w:r>
    </w:p>
    <w:p w14:paraId="6CF38B9B">
      <w:pPr>
        <w:pStyle w:val="2"/>
        <w:ind w:firstLine="480"/>
        <w:rPr>
          <w:rFonts w:ascii="宋体" w:hAnsi="宋体" w:eastAsia="宋体"/>
          <w:sz w:val="24"/>
          <w:highlight w:val="yellow"/>
          <w:lang w:val="en-US"/>
        </w:rPr>
      </w:pPr>
      <w:r>
        <w:rPr>
          <w:rFonts w:hint="eastAsia"/>
          <w:sz w:val="24"/>
          <w:highlight w:val="none"/>
          <w:lang w:val="en-US"/>
        </w:rPr>
        <w:t>3、</w:t>
      </w:r>
      <w:r>
        <w:rPr>
          <w:rFonts w:hint="eastAsia" w:ascii="宋体" w:hAnsi="宋体" w:eastAsia="宋体"/>
          <w:sz w:val="24"/>
          <w:highlight w:val="none"/>
          <w:lang w:val="en-US"/>
        </w:rPr>
        <w:t xml:space="preserve">仓库厂区、主要楼道具备24小时实时监控且厂区有专人24小时监管。 </w:t>
      </w:r>
    </w:p>
    <w:p w14:paraId="131AFC2D">
      <w:pPr>
        <w:pStyle w:val="2"/>
        <w:ind w:firstLine="480"/>
        <w:rPr>
          <w:rFonts w:ascii="宋体" w:hAnsi="宋体" w:eastAsia="宋体"/>
          <w:sz w:val="24"/>
          <w:lang w:val="en-US"/>
        </w:rPr>
      </w:pPr>
      <w:r>
        <w:rPr>
          <w:rFonts w:hint="eastAsia"/>
          <w:sz w:val="24"/>
          <w:lang w:val="en-US"/>
        </w:rPr>
        <w:t>4、</w:t>
      </w:r>
      <w:r>
        <w:rPr>
          <w:rFonts w:hint="eastAsia" w:ascii="宋体" w:hAnsi="宋体" w:eastAsia="宋体"/>
          <w:sz w:val="24"/>
          <w:lang w:val="en-US"/>
        </w:rPr>
        <w:t>仓库位置：应位于距离珠海市中西医结合医院</w:t>
      </w:r>
      <w:r>
        <w:rPr>
          <w:rFonts w:hint="eastAsia" w:ascii="宋体" w:hAnsi="宋体" w:eastAsia="宋体"/>
          <w:sz w:val="24"/>
          <w:lang w:val="en-US" w:eastAsia="zh-CN"/>
        </w:rPr>
        <w:t>单程1小时</w:t>
      </w:r>
      <w:r>
        <w:rPr>
          <w:rFonts w:hint="eastAsia" w:ascii="宋体" w:hAnsi="宋体" w:eastAsia="宋体"/>
          <w:sz w:val="24"/>
          <w:lang w:val="en-US"/>
        </w:rPr>
        <w:t>内交通方便地带（与市政一级道路有良好的道路连接仓库），投标人需提供仓库的交通示意图。（以网上查询高德地图或百度地图显示的汽车导航最短路程为标准。</w:t>
      </w:r>
    </w:p>
    <w:p w14:paraId="43441EA3">
      <w:pPr>
        <w:autoSpaceDE w:val="0"/>
        <w:autoSpaceDN w:val="0"/>
        <w:adjustRightInd w:val="0"/>
        <w:spacing w:line="360" w:lineRule="auto"/>
        <w:ind w:firstLine="480" w:firstLineChars="200"/>
        <w:jc w:val="left"/>
        <w:rPr>
          <w:rFonts w:ascii="宋体" w:hAnsi="宋体" w:eastAsia="宋体"/>
          <w:sz w:val="24"/>
          <w:szCs w:val="24"/>
        </w:rPr>
      </w:pPr>
      <w:r>
        <w:rPr>
          <w:rFonts w:hint="eastAsia"/>
          <w:sz w:val="24"/>
          <w:szCs w:val="24"/>
        </w:rPr>
        <w:t>5、</w:t>
      </w:r>
      <w:r>
        <w:rPr>
          <w:rFonts w:hint="eastAsia"/>
          <w:sz w:val="24"/>
          <w:szCs w:val="24"/>
          <w:lang w:val="en-US" w:eastAsia="zh-CN"/>
        </w:rPr>
        <w:t>投标人</w:t>
      </w:r>
      <w:r>
        <w:rPr>
          <w:rFonts w:hint="eastAsia" w:ascii="宋体" w:hAnsi="宋体" w:eastAsia="宋体" w:cs="宋体"/>
          <w:color w:val="000000"/>
          <w:kern w:val="0"/>
          <w:sz w:val="24"/>
          <w:szCs w:val="24"/>
        </w:rPr>
        <w:t>须持有房产证、授权人委托书、受委托人身份证原件或复印件。</w:t>
      </w:r>
      <w:r>
        <w:rPr>
          <w:rFonts w:hint="eastAsia" w:ascii="宋体" w:hAnsi="宋体" w:eastAsia="宋体"/>
          <w:sz w:val="24"/>
          <w:szCs w:val="24"/>
        </w:rPr>
        <w:t>投标人须提供场地使用合法手续证明。（若仓库是自有的，应提供房产证复印件； 若仓库是租赁的，应提供租赁合同（合同有效期必须在投标方租赁期内）及房产证复印件）</w:t>
      </w:r>
    </w:p>
    <w:p w14:paraId="191DF0B4">
      <w:pPr>
        <w:pStyle w:val="2"/>
        <w:ind w:firstLine="480"/>
        <w:rPr>
          <w:rFonts w:ascii="宋体" w:hAnsi="宋体" w:eastAsia="宋体"/>
          <w:sz w:val="24"/>
          <w:lang w:val="en-US"/>
        </w:rPr>
      </w:pPr>
      <w:r>
        <w:rPr>
          <w:rFonts w:hint="eastAsia"/>
          <w:sz w:val="24"/>
          <w:lang w:val="en-US"/>
        </w:rPr>
        <w:t>6、</w:t>
      </w:r>
      <w:r>
        <w:rPr>
          <w:rFonts w:hint="eastAsia" w:ascii="宋体" w:hAnsi="宋体" w:eastAsia="宋体"/>
          <w:sz w:val="24"/>
          <w:lang w:val="en-US"/>
        </w:rPr>
        <w:t>做好仓库的防潮、防鼠、防盗、防火、防自然灾害等工作，保证仓库物品完好。若因中标方造成的损失由中标方按货品清单数量进行赔付。</w:t>
      </w:r>
      <w:bookmarkStart w:id="0" w:name="_GoBack"/>
      <w:bookmarkEnd w:id="0"/>
    </w:p>
    <w:p w14:paraId="4BB1DF2B">
      <w:pPr>
        <w:pStyle w:val="2"/>
        <w:ind w:firstLine="480"/>
        <w:rPr>
          <w:rFonts w:ascii="宋体" w:hAnsi="宋体" w:eastAsia="宋体"/>
          <w:sz w:val="24"/>
          <w:lang w:val="en-US"/>
        </w:rPr>
      </w:pPr>
      <w:r>
        <w:rPr>
          <w:rFonts w:hint="eastAsia"/>
          <w:sz w:val="24"/>
          <w:lang w:val="en-US"/>
        </w:rPr>
        <w:t>7、</w:t>
      </w:r>
      <w:r>
        <w:rPr>
          <w:rFonts w:hint="eastAsia" w:ascii="宋体" w:hAnsi="宋体" w:eastAsia="宋体"/>
          <w:sz w:val="24"/>
          <w:lang w:val="en-US"/>
        </w:rPr>
        <w:t>存放物品从中标人现场清点并开具单据开始，物品的安全交由中标人负责，若因中标方造成的损失由中标方按货品清单数量进行赔付。</w:t>
      </w:r>
    </w:p>
    <w:p w14:paraId="286DAEE7">
      <w:pPr>
        <w:rPr>
          <w:rFonts w:ascii="黑体" w:hAnsi="黑体" w:eastAsia="黑体"/>
          <w:sz w:val="28"/>
          <w:szCs w:val="28"/>
        </w:rPr>
      </w:pPr>
    </w:p>
    <w:p w14:paraId="7710D5D9">
      <w:pPr>
        <w:rPr>
          <w:rFonts w:ascii="黑体" w:hAnsi="黑体" w:eastAsia="黑体"/>
          <w:sz w:val="28"/>
          <w:szCs w:val="28"/>
        </w:rPr>
      </w:pPr>
      <w:r>
        <w:rPr>
          <w:rFonts w:hint="eastAsia" w:ascii="黑体" w:hAnsi="黑体" w:eastAsia="黑体"/>
          <w:sz w:val="28"/>
          <w:szCs w:val="28"/>
        </w:rPr>
        <w:t>附件一：部分资产情况</w:t>
      </w:r>
    </w:p>
    <w:p w14:paraId="439780B9">
      <w:r>
        <w:rPr>
          <w:rFonts w:hint="eastAsia" w:ascii="黑体" w:hAnsi="黑体" w:eastAsia="黑体"/>
          <w:sz w:val="28"/>
          <w:szCs w:val="28"/>
        </w:rPr>
        <w:drawing>
          <wp:inline distT="0" distB="0" distL="114300" distR="114300">
            <wp:extent cx="5230495" cy="2048510"/>
            <wp:effectExtent l="0" t="0" r="8255" b="8890"/>
            <wp:docPr id="13" name="图片 13" descr="9e7c6f3e3bff7b826d154d6cfdc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e7c6f3e3bff7b826d154d6cfdcde15"/>
                    <pic:cNvPicPr>
                      <a:picLocks noChangeAspect="1"/>
                    </pic:cNvPicPr>
                  </pic:nvPicPr>
                  <pic:blipFill>
                    <a:blip r:embed="rId4"/>
                    <a:stretch>
                      <a:fillRect/>
                    </a:stretch>
                  </pic:blipFill>
                  <pic:spPr>
                    <a:xfrm>
                      <a:off x="0" y="0"/>
                      <a:ext cx="5230495" cy="2048510"/>
                    </a:xfrm>
                    <a:prstGeom prst="rect">
                      <a:avLst/>
                    </a:prstGeom>
                  </pic:spPr>
                </pic:pic>
              </a:graphicData>
            </a:graphic>
          </wp:inline>
        </w:drawing>
      </w:r>
    </w:p>
    <w:p w14:paraId="19F02899">
      <w:r>
        <w:rPr>
          <w:rFonts w:hint="eastAsia" w:eastAsia="宋体"/>
        </w:rPr>
        <w:drawing>
          <wp:inline distT="0" distB="0" distL="114300" distR="114300">
            <wp:extent cx="5230495" cy="1901825"/>
            <wp:effectExtent l="0" t="0" r="8255" b="3175"/>
            <wp:docPr id="14" name="图片 14" descr="69c3b64b106948ba9442a73cabed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9c3b64b106948ba9442a73cabed4be"/>
                    <pic:cNvPicPr>
                      <a:picLocks noChangeAspect="1"/>
                    </pic:cNvPicPr>
                  </pic:nvPicPr>
                  <pic:blipFill>
                    <a:blip r:embed="rId5"/>
                    <a:stretch>
                      <a:fillRect/>
                    </a:stretch>
                  </pic:blipFill>
                  <pic:spPr>
                    <a:xfrm>
                      <a:off x="0" y="0"/>
                      <a:ext cx="5230495" cy="1901825"/>
                    </a:xfrm>
                    <a:prstGeom prst="rect">
                      <a:avLst/>
                    </a:prstGeom>
                  </pic:spPr>
                </pic:pic>
              </a:graphicData>
            </a:graphic>
          </wp:inline>
        </w:drawing>
      </w:r>
    </w:p>
    <w:p w14:paraId="5BF77394">
      <w:pPr>
        <w:rPr>
          <w:rFonts w:eastAsia="宋体"/>
        </w:rPr>
      </w:pPr>
      <w:r>
        <w:rPr>
          <w:rFonts w:hint="eastAsia" w:eastAsia="宋体"/>
        </w:rPr>
        <w:drawing>
          <wp:inline distT="0" distB="0" distL="114300" distR="114300">
            <wp:extent cx="5230495" cy="1924050"/>
            <wp:effectExtent l="0" t="0" r="8255" b="0"/>
            <wp:docPr id="15" name="图片 15" descr="1276ffb8c8e867a949dcc03cfd89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76ffb8c8e867a949dcc03cfd89b3d"/>
                    <pic:cNvPicPr>
                      <a:picLocks noChangeAspect="1"/>
                    </pic:cNvPicPr>
                  </pic:nvPicPr>
                  <pic:blipFill>
                    <a:blip r:embed="rId6"/>
                    <a:stretch>
                      <a:fillRect/>
                    </a:stretch>
                  </pic:blipFill>
                  <pic:spPr>
                    <a:xfrm>
                      <a:off x="0" y="0"/>
                      <a:ext cx="5230495" cy="1924050"/>
                    </a:xfrm>
                    <a:prstGeom prst="rect">
                      <a:avLst/>
                    </a:prstGeom>
                  </pic:spPr>
                </pic:pic>
              </a:graphicData>
            </a:graphic>
          </wp:inline>
        </w:drawing>
      </w:r>
    </w:p>
    <w:p w14:paraId="1B8D6D4D">
      <w:pPr>
        <w:pStyle w:val="2"/>
        <w:spacing w:line="240" w:lineRule="auto"/>
        <w:ind w:firstLine="0" w:firstLineChars="0"/>
        <w:rPr>
          <w:rFonts w:eastAsia="宋体"/>
        </w:rPr>
      </w:pPr>
      <w:r>
        <w:rPr>
          <w:rFonts w:hint="eastAsia" w:eastAsia="宋体"/>
          <w:lang w:val="en-US"/>
        </w:rPr>
        <w:drawing>
          <wp:inline distT="0" distB="0" distL="114300" distR="114300">
            <wp:extent cx="5230495" cy="2171700"/>
            <wp:effectExtent l="0" t="0" r="8255" b="0"/>
            <wp:docPr id="18" name="图片 18" descr="5178b8ba345f6e7c117a983cda4f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178b8ba345f6e7c117a983cda4f1fa"/>
                    <pic:cNvPicPr>
                      <a:picLocks noChangeAspect="1"/>
                    </pic:cNvPicPr>
                  </pic:nvPicPr>
                  <pic:blipFill>
                    <a:blip r:embed="rId7"/>
                    <a:stretch>
                      <a:fillRect/>
                    </a:stretch>
                  </pic:blipFill>
                  <pic:spPr>
                    <a:xfrm>
                      <a:off x="0" y="0"/>
                      <a:ext cx="5230495" cy="2171700"/>
                    </a:xfrm>
                    <a:prstGeom prst="rect">
                      <a:avLst/>
                    </a:prstGeom>
                  </pic:spPr>
                </pic:pic>
              </a:graphicData>
            </a:graphic>
          </wp:inline>
        </w:drawing>
      </w:r>
    </w:p>
    <w:tbl>
      <w:tblPr>
        <w:tblStyle w:val="8"/>
        <w:tblW w:w="4561" w:type="dxa"/>
        <w:tblInd w:w="93" w:type="dxa"/>
        <w:tblLayout w:type="autofit"/>
        <w:tblCellMar>
          <w:top w:w="0" w:type="dxa"/>
          <w:left w:w="108" w:type="dxa"/>
          <w:bottom w:w="0" w:type="dxa"/>
          <w:right w:w="108" w:type="dxa"/>
        </w:tblCellMar>
      </w:tblPr>
      <w:tblGrid>
        <w:gridCol w:w="6006"/>
      </w:tblGrid>
      <w:tr w14:paraId="157A230E">
        <w:tblPrEx>
          <w:tblCellMar>
            <w:top w:w="0" w:type="dxa"/>
            <w:left w:w="108" w:type="dxa"/>
            <w:bottom w:w="0" w:type="dxa"/>
            <w:right w:w="108" w:type="dxa"/>
          </w:tblCellMar>
        </w:tblPrEx>
        <w:trPr>
          <w:trHeight w:val="3360" w:hRule="atLeast"/>
        </w:trPr>
        <w:tc>
          <w:tcPr>
            <w:tcW w:w="4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B8E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drawing>
                <wp:inline distT="0" distB="0" distL="114300" distR="114300">
                  <wp:extent cx="3380105" cy="2479675"/>
                  <wp:effectExtent l="0" t="0" r="10795" b="158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3380105" cy="2479675"/>
                          </a:xfrm>
                          <a:prstGeom prst="rect">
                            <a:avLst/>
                          </a:prstGeom>
                          <a:noFill/>
                          <a:ln w="9525">
                            <a:noFill/>
                          </a:ln>
                        </pic:spPr>
                      </pic:pic>
                    </a:graphicData>
                  </a:graphic>
                </wp:inline>
              </w:drawing>
            </w:r>
          </w:p>
        </w:tc>
      </w:tr>
      <w:tr w14:paraId="76C97B95">
        <w:tblPrEx>
          <w:tblCellMar>
            <w:top w:w="0" w:type="dxa"/>
            <w:left w:w="108" w:type="dxa"/>
            <w:bottom w:w="0" w:type="dxa"/>
            <w:right w:w="108" w:type="dxa"/>
          </w:tblCellMar>
        </w:tblPrEx>
        <w:trPr>
          <w:trHeight w:val="3360" w:hRule="atLeast"/>
        </w:trPr>
        <w:tc>
          <w:tcPr>
            <w:tcW w:w="4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ABC7">
            <w:pPr>
              <w:widowControl/>
              <w:jc w:val="center"/>
              <w:textAlignment w:val="center"/>
              <w:rPr>
                <w:rFonts w:ascii="Calibri" w:hAnsi="Calibri" w:eastAsia="宋体" w:cs="Calibri"/>
                <w:color w:val="000000"/>
                <w:szCs w:val="21"/>
              </w:rPr>
            </w:pPr>
            <w:r>
              <w:rPr>
                <w:rFonts w:ascii="Calibri" w:hAnsi="Calibri" w:eastAsia="宋体" w:cs="Calibri"/>
                <w:color w:val="000000"/>
                <w:kern w:val="0"/>
                <w:szCs w:val="21"/>
              </w:rPr>
              <w:drawing>
                <wp:inline distT="0" distB="0" distL="114300" distR="114300">
                  <wp:extent cx="3676650" cy="157162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3676650" cy="1571625"/>
                          </a:xfrm>
                          <a:prstGeom prst="rect">
                            <a:avLst/>
                          </a:prstGeom>
                          <a:noFill/>
                          <a:ln w="9525">
                            <a:noFill/>
                          </a:ln>
                        </pic:spPr>
                      </pic:pic>
                    </a:graphicData>
                  </a:graphic>
                </wp:inline>
              </w:drawing>
            </w:r>
          </w:p>
        </w:tc>
      </w:tr>
      <w:tr w14:paraId="124FEE6C">
        <w:tblPrEx>
          <w:tblCellMar>
            <w:top w:w="0" w:type="dxa"/>
            <w:left w:w="108" w:type="dxa"/>
            <w:bottom w:w="0" w:type="dxa"/>
            <w:right w:w="108" w:type="dxa"/>
          </w:tblCellMar>
        </w:tblPrEx>
        <w:trPr>
          <w:trHeight w:val="4015" w:hRule="atLeast"/>
        </w:trPr>
        <w:tc>
          <w:tcPr>
            <w:tcW w:w="4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4729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drawing>
                <wp:inline distT="0" distB="0" distL="114300" distR="114300">
                  <wp:extent cx="2895600" cy="21717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a:stretch>
                            <a:fillRect/>
                          </a:stretch>
                        </pic:blipFill>
                        <pic:spPr>
                          <a:xfrm>
                            <a:off x="0" y="0"/>
                            <a:ext cx="2895600" cy="2171700"/>
                          </a:xfrm>
                          <a:prstGeom prst="rect">
                            <a:avLst/>
                          </a:prstGeom>
                          <a:noFill/>
                          <a:ln w="9525">
                            <a:noFill/>
                          </a:ln>
                        </pic:spPr>
                      </pic:pic>
                    </a:graphicData>
                  </a:graphic>
                </wp:inline>
              </w:drawing>
            </w:r>
          </w:p>
        </w:tc>
      </w:tr>
    </w:tbl>
    <w:p w14:paraId="471A4571">
      <w:pPr>
        <w:pStyle w:val="2"/>
        <w:spacing w:line="240" w:lineRule="auto"/>
        <w:ind w:firstLine="0" w:firstLineChars="0"/>
        <w:rPr>
          <w:rFonts w:eastAsia="宋体"/>
          <w:lang w:val="en-US"/>
        </w:rPr>
      </w:pPr>
      <w:r>
        <w:rPr>
          <w:rFonts w:eastAsia="宋体"/>
          <w:lang w:val="en-US"/>
        </w:rPr>
        <w:t>尺寸：3.6*1*1m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8DCAA"/>
    <w:multiLevelType w:val="singleLevel"/>
    <w:tmpl w:val="9198DCA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Q2YmVjNGJlMWEyYjI0ZTUwODhmNDdjN2MzZDNlYTAifQ=="/>
  </w:docVars>
  <w:rsids>
    <w:rsidRoot w:val="00CF1457"/>
    <w:rsid w:val="00030732"/>
    <w:rsid w:val="00042513"/>
    <w:rsid w:val="00075292"/>
    <w:rsid w:val="000774E2"/>
    <w:rsid w:val="00095F4F"/>
    <w:rsid w:val="000D3A43"/>
    <w:rsid w:val="000D5C8B"/>
    <w:rsid w:val="00127C06"/>
    <w:rsid w:val="002652C9"/>
    <w:rsid w:val="0028420F"/>
    <w:rsid w:val="00294069"/>
    <w:rsid w:val="002A1D5A"/>
    <w:rsid w:val="002C3FAA"/>
    <w:rsid w:val="002C4F3C"/>
    <w:rsid w:val="00344032"/>
    <w:rsid w:val="003A5708"/>
    <w:rsid w:val="00407422"/>
    <w:rsid w:val="0045668C"/>
    <w:rsid w:val="00473AFA"/>
    <w:rsid w:val="004F5EEC"/>
    <w:rsid w:val="00515966"/>
    <w:rsid w:val="005B18BB"/>
    <w:rsid w:val="005E03EE"/>
    <w:rsid w:val="005E6F4D"/>
    <w:rsid w:val="00604204"/>
    <w:rsid w:val="006F5D5D"/>
    <w:rsid w:val="007001ED"/>
    <w:rsid w:val="00747A7F"/>
    <w:rsid w:val="00771473"/>
    <w:rsid w:val="00776128"/>
    <w:rsid w:val="007C2A9E"/>
    <w:rsid w:val="007D742A"/>
    <w:rsid w:val="007F0EE9"/>
    <w:rsid w:val="007F5663"/>
    <w:rsid w:val="00812F16"/>
    <w:rsid w:val="0083513C"/>
    <w:rsid w:val="008F0050"/>
    <w:rsid w:val="008F2A9C"/>
    <w:rsid w:val="009208B4"/>
    <w:rsid w:val="00953216"/>
    <w:rsid w:val="009600F7"/>
    <w:rsid w:val="009669A8"/>
    <w:rsid w:val="00977589"/>
    <w:rsid w:val="0099381B"/>
    <w:rsid w:val="009B1266"/>
    <w:rsid w:val="009B60DE"/>
    <w:rsid w:val="009F2ADD"/>
    <w:rsid w:val="009F6C9D"/>
    <w:rsid w:val="00A131D8"/>
    <w:rsid w:val="00A4295A"/>
    <w:rsid w:val="00A46033"/>
    <w:rsid w:val="00A96757"/>
    <w:rsid w:val="00AE7222"/>
    <w:rsid w:val="00B01AB2"/>
    <w:rsid w:val="00B04E40"/>
    <w:rsid w:val="00B21158"/>
    <w:rsid w:val="00B9608D"/>
    <w:rsid w:val="00BA71E0"/>
    <w:rsid w:val="00C06D86"/>
    <w:rsid w:val="00C23C27"/>
    <w:rsid w:val="00C25288"/>
    <w:rsid w:val="00C56BC5"/>
    <w:rsid w:val="00C6601E"/>
    <w:rsid w:val="00C948E6"/>
    <w:rsid w:val="00CF1457"/>
    <w:rsid w:val="00D57B02"/>
    <w:rsid w:val="00E4104D"/>
    <w:rsid w:val="00E508D7"/>
    <w:rsid w:val="00E81286"/>
    <w:rsid w:val="00EE05BD"/>
    <w:rsid w:val="00F45386"/>
    <w:rsid w:val="00F569FD"/>
    <w:rsid w:val="00FC0DD8"/>
    <w:rsid w:val="00FC33ED"/>
    <w:rsid w:val="01BA2DA4"/>
    <w:rsid w:val="04325753"/>
    <w:rsid w:val="05283431"/>
    <w:rsid w:val="05607C8C"/>
    <w:rsid w:val="0588337D"/>
    <w:rsid w:val="061F3696"/>
    <w:rsid w:val="066A50B6"/>
    <w:rsid w:val="06A0760F"/>
    <w:rsid w:val="06CC2996"/>
    <w:rsid w:val="09646A15"/>
    <w:rsid w:val="0B25460A"/>
    <w:rsid w:val="0DE92374"/>
    <w:rsid w:val="0EA31D7A"/>
    <w:rsid w:val="0F8F06E3"/>
    <w:rsid w:val="109D1E38"/>
    <w:rsid w:val="125B0C25"/>
    <w:rsid w:val="1539699E"/>
    <w:rsid w:val="156D37A6"/>
    <w:rsid w:val="18270D2F"/>
    <w:rsid w:val="196007BC"/>
    <w:rsid w:val="1A805A51"/>
    <w:rsid w:val="1CB515F6"/>
    <w:rsid w:val="1D16049B"/>
    <w:rsid w:val="245E23DE"/>
    <w:rsid w:val="24D53036"/>
    <w:rsid w:val="24EE37B4"/>
    <w:rsid w:val="26FE5336"/>
    <w:rsid w:val="29AF3462"/>
    <w:rsid w:val="31420018"/>
    <w:rsid w:val="31D12553"/>
    <w:rsid w:val="31E22D3C"/>
    <w:rsid w:val="335A5AB0"/>
    <w:rsid w:val="38C30665"/>
    <w:rsid w:val="38EB0322"/>
    <w:rsid w:val="3EEC149C"/>
    <w:rsid w:val="3F2630BC"/>
    <w:rsid w:val="41CF5BD3"/>
    <w:rsid w:val="4273660C"/>
    <w:rsid w:val="43D70981"/>
    <w:rsid w:val="486A7109"/>
    <w:rsid w:val="4B550AF0"/>
    <w:rsid w:val="4BF919CF"/>
    <w:rsid w:val="4FAC49B1"/>
    <w:rsid w:val="530E3B1A"/>
    <w:rsid w:val="53501A14"/>
    <w:rsid w:val="54EB1190"/>
    <w:rsid w:val="558E6F90"/>
    <w:rsid w:val="55A013D9"/>
    <w:rsid w:val="563F5E3E"/>
    <w:rsid w:val="578C3305"/>
    <w:rsid w:val="590E6D8B"/>
    <w:rsid w:val="59BF51B4"/>
    <w:rsid w:val="627A7D1F"/>
    <w:rsid w:val="68CE70CF"/>
    <w:rsid w:val="68DC3034"/>
    <w:rsid w:val="6B8F7191"/>
    <w:rsid w:val="6C5A1ABD"/>
    <w:rsid w:val="6CC76E0C"/>
    <w:rsid w:val="72841F30"/>
    <w:rsid w:val="735073B5"/>
    <w:rsid w:val="73CC49CE"/>
    <w:rsid w:val="744A1DE4"/>
    <w:rsid w:val="758414A8"/>
    <w:rsid w:val="78FF6405"/>
    <w:rsid w:val="7C75137E"/>
    <w:rsid w:val="7E79123A"/>
    <w:rsid w:val="7F9A32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line="500" w:lineRule="exact"/>
      <w:ind w:firstLine="200" w:firstLineChars="200"/>
    </w:pPr>
    <w:rPr>
      <w:rFonts w:ascii="Times New Roman" w:hAnsi="Times New Roman"/>
      <w:kern w:val="0"/>
      <w:sz w:val="28"/>
      <w:szCs w:val="24"/>
      <w:lang w:val="zh-CN"/>
    </w:rPr>
  </w:style>
  <w:style w:type="paragraph" w:styleId="3">
    <w:name w:val="Body Text Indent"/>
    <w:basedOn w:val="1"/>
    <w:link w:val="11"/>
    <w:qFormat/>
    <w:uiPriority w:val="0"/>
    <w:pPr>
      <w:spacing w:line="360" w:lineRule="auto"/>
      <w:ind w:left="716" w:leftChars="341" w:firstLine="2"/>
    </w:pPr>
    <w:rPr>
      <w:rFonts w:ascii="宋体" w:hAnsi="宋体" w:eastAsia="宋体" w:cs="Times New Roman"/>
      <w:bCs/>
      <w:szCs w:val="24"/>
    </w:rPr>
  </w:style>
  <w:style w:type="paragraph" w:styleId="4">
    <w:name w:val="Balloon Text"/>
    <w:basedOn w:val="1"/>
    <w:link w:val="14"/>
    <w:semiHidden/>
    <w:unhideWhenUsed/>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正文文本缩进 Char"/>
    <w:basedOn w:val="10"/>
    <w:link w:val="3"/>
    <w:qFormat/>
    <w:uiPriority w:val="0"/>
    <w:rPr>
      <w:rFonts w:ascii="宋体" w:hAnsi="宋体" w:eastAsia="宋体" w:cs="Times New Roman"/>
      <w:bCs/>
      <w:szCs w:val="24"/>
    </w:rPr>
  </w:style>
  <w:style w:type="character" w:customStyle="1" w:styleId="12">
    <w:name w:val="页眉 Char"/>
    <w:basedOn w:val="10"/>
    <w:link w:val="6"/>
    <w:semiHidden/>
    <w:qFormat/>
    <w:uiPriority w:val="99"/>
    <w:rPr>
      <w:sz w:val="18"/>
      <w:szCs w:val="18"/>
    </w:rPr>
  </w:style>
  <w:style w:type="character" w:customStyle="1" w:styleId="13">
    <w:name w:val="页脚 Char"/>
    <w:basedOn w:val="10"/>
    <w:link w:val="5"/>
    <w:semiHidden/>
    <w:qFormat/>
    <w:uiPriority w:val="99"/>
    <w:rPr>
      <w:sz w:val="18"/>
      <w:szCs w:val="18"/>
    </w:rPr>
  </w:style>
  <w:style w:type="character" w:customStyle="1" w:styleId="14">
    <w:name w:val="批注框文本 Char"/>
    <w:basedOn w:val="10"/>
    <w:link w:val="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1479</Words>
  <Characters>1582</Characters>
  <Lines>4</Lines>
  <Paragraphs>1</Paragraphs>
  <TotalTime>0</TotalTime>
  <ScaleCrop>false</ScaleCrop>
  <LinksUpToDate>false</LinksUpToDate>
  <CharactersWithSpaces>1586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2025-07-17T00:32:00Z</dcterms:created>
  <dc:creator>Administrator</dc:creator>
  <cp:lastModifiedBy>郑</cp:lastModifiedBy>
  <cp:lastPrinted>2023-11-14T06:38:00Z</cp:lastPrinted>
  <dcterms:modified xsi:type="dcterms:W3CDTF">2026-07-06T01:55:29Z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8B89C63DC128488DB758C64435DC19D3</vt:lpwstr>
  </property>
  <property fmtid="{D5CDD505-2E9C-101B-9397-08002B2CF9AE}" pid="4" name="KSOTemplateDocerSaveRecord">
    <vt:lpwstr>eyJoZGlkIjoiMTU1YzFmNjdiZWEzMTQ4NzIzZjRiMGI1MWRiNTg2MmMiLCJ1c2VySWQiOiIzODgxMzUyNjIifQ==</vt:lpwstr>
  </property>
</Properties>
</file>