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67B47">
      <w:pPr>
        <w:pStyle w:val="2"/>
        <w:jc w:val="center"/>
        <w:rPr>
          <w:rFonts w:ascii="宋体" w:hAnsi="宋体" w:cs="宋体"/>
          <w:sz w:val="36"/>
          <w:szCs w:val="36"/>
        </w:rPr>
      </w:pPr>
      <w:bookmarkStart w:id="0" w:name="_Toc17053"/>
      <w:bookmarkStart w:id="1" w:name="_Toc11870"/>
      <w:bookmarkStart w:id="2" w:name="_Toc26559"/>
      <w:bookmarkStart w:id="3" w:name="_Toc6044"/>
      <w:bookmarkStart w:id="4" w:name="_Toc510095286"/>
      <w:bookmarkStart w:id="5" w:name="_Toc13635"/>
      <w:r>
        <w:rPr>
          <w:rFonts w:hint="eastAsia" w:ascii="宋体" w:hAnsi="宋体" w:cs="宋体"/>
          <w:sz w:val="36"/>
          <w:szCs w:val="36"/>
        </w:rPr>
        <w:t>评分体系与标准</w:t>
      </w:r>
    </w:p>
    <w:p w14:paraId="27646A71">
      <w:pPr>
        <w:pStyle w:val="8"/>
        <w:spacing w:line="360" w:lineRule="auto"/>
        <w:ind w:firstLine="411" w:firstLineChars="196"/>
        <w:rPr>
          <w:rFonts w:ascii="宋体" w:hAnsi="宋体" w:cs="宋体"/>
          <w:kern w:val="0"/>
          <w:sz w:val="21"/>
          <w:szCs w:val="21"/>
        </w:rPr>
      </w:pPr>
      <w:r>
        <w:rPr>
          <w:rFonts w:hint="eastAsia" w:ascii="宋体" w:hAnsi="宋体" w:cs="宋体"/>
          <w:kern w:val="0"/>
          <w:sz w:val="21"/>
          <w:szCs w:val="21"/>
        </w:rPr>
        <w:t>根据《中华人民共和国政府采购法》、《广东省实施&lt;中华人民共和国政府采购法&gt;办法》及相关法律、法规的规定确定以下评标方法、步骤及标准：</w:t>
      </w:r>
    </w:p>
    <w:p w14:paraId="7AC44867">
      <w:pPr>
        <w:rPr>
          <w:rFonts w:ascii="宋体" w:hAnsi="宋体" w:cs="宋体"/>
          <w:b/>
          <w:bCs/>
          <w:sz w:val="21"/>
          <w:szCs w:val="21"/>
        </w:rPr>
      </w:pPr>
      <w:bookmarkStart w:id="6" w:name="_Toc17888"/>
      <w:r>
        <w:rPr>
          <w:rFonts w:hint="eastAsia" w:ascii="宋体" w:hAnsi="宋体" w:cs="宋体"/>
          <w:b/>
          <w:bCs/>
          <w:sz w:val="21"/>
          <w:szCs w:val="21"/>
        </w:rPr>
        <w:t>一、总则</w:t>
      </w:r>
      <w:bookmarkEnd w:id="6"/>
    </w:p>
    <w:p w14:paraId="1D868BA7">
      <w:pPr>
        <w:pStyle w:val="8"/>
        <w:spacing w:line="360" w:lineRule="auto"/>
        <w:ind w:firstLine="0" w:firstLineChars="0"/>
        <w:rPr>
          <w:rFonts w:ascii="宋体" w:hAnsi="宋体" w:cs="宋体"/>
          <w:kern w:val="0"/>
          <w:sz w:val="21"/>
          <w:szCs w:val="21"/>
        </w:rPr>
      </w:pPr>
      <w:r>
        <w:rPr>
          <w:rFonts w:hint="eastAsia" w:ascii="宋体" w:hAnsi="宋体" w:cs="宋体"/>
          <w:kern w:val="0"/>
          <w:sz w:val="21"/>
          <w:szCs w:val="21"/>
        </w:rPr>
        <w:t>1</w:t>
      </w:r>
      <w:r>
        <w:rPr>
          <w:rFonts w:hint="eastAsia" w:ascii="宋体" w:hAnsi="宋体" w:cs="宋体"/>
          <w:kern w:val="28"/>
          <w:sz w:val="21"/>
          <w:szCs w:val="21"/>
        </w:rPr>
        <w:t>、</w:t>
      </w:r>
      <w:r>
        <w:rPr>
          <w:rFonts w:hint="eastAsia" w:ascii="宋体" w:hAnsi="宋体" w:cs="宋体"/>
          <w:kern w:val="0"/>
          <w:sz w:val="21"/>
          <w:szCs w:val="21"/>
        </w:rPr>
        <w:t>评标委员会</w:t>
      </w:r>
    </w:p>
    <w:p w14:paraId="4918E865">
      <w:pPr>
        <w:pStyle w:val="14"/>
        <w:adjustRightInd w:val="0"/>
        <w:snapToGrid w:val="0"/>
        <w:spacing w:line="360" w:lineRule="auto"/>
        <w:ind w:left="420" w:hanging="420" w:hangingChars="200"/>
        <w:rPr>
          <w:rFonts w:hAnsi="宋体" w:cs="宋体"/>
          <w:sz w:val="21"/>
        </w:rPr>
      </w:pPr>
      <w:r>
        <w:rPr>
          <w:rFonts w:hint="eastAsia" w:hAnsi="宋体" w:cs="宋体"/>
          <w:sz w:val="21"/>
        </w:rPr>
        <w:t>1.1本次招标依法组建评标委员会。本次评标的评委会依法由 5位评委组成，包括：采购人代表 1 人和专家4人。评委会负责全部的评审工作，任何人不得干预评委会的工作。</w:t>
      </w:r>
    </w:p>
    <w:p w14:paraId="17CFECEE">
      <w:pPr>
        <w:snapToGrid w:val="0"/>
        <w:spacing w:line="360" w:lineRule="auto"/>
        <w:ind w:left="325" w:hanging="325" w:hangingChars="155"/>
        <w:rPr>
          <w:rFonts w:ascii="宋体" w:hAnsi="宋体" w:cs="宋体"/>
          <w:sz w:val="21"/>
          <w:szCs w:val="21"/>
        </w:rPr>
      </w:pPr>
      <w:r>
        <w:rPr>
          <w:rFonts w:hint="eastAsia" w:ascii="宋体" w:hAnsi="宋体" w:cs="宋体"/>
          <w:sz w:val="21"/>
          <w:szCs w:val="21"/>
        </w:rPr>
        <w:t>1.2评标委员会将按照采购文件确定的评标方法进行评标。对采购文件中描述有歧义或前后不一致的地方，评标委员会有权按法律法规的规定进行评判，但对同一条款的评判应适用于每个投标人。</w:t>
      </w:r>
    </w:p>
    <w:p w14:paraId="4D93283B">
      <w:pPr>
        <w:snapToGrid w:val="0"/>
        <w:spacing w:line="360" w:lineRule="auto"/>
        <w:ind w:left="325" w:hanging="325" w:hangingChars="155"/>
        <w:rPr>
          <w:rFonts w:ascii="宋体" w:hAnsi="宋体" w:cs="宋体"/>
          <w:sz w:val="21"/>
          <w:szCs w:val="21"/>
        </w:rPr>
      </w:pPr>
      <w:r>
        <w:rPr>
          <w:rFonts w:hint="eastAsia" w:ascii="宋体" w:hAnsi="宋体" w:cs="宋体"/>
          <w:sz w:val="21"/>
          <w:szCs w:val="21"/>
        </w:rPr>
        <w:t>1.3在评标期间，为方便对投标文件进行审核、评估和对比，评标委员会可以要求投标人对投标文件中含义不明确、对同类问题表述不一致或者有明显文字和计算错误的内容作出必要的书面澄清说明，但该澄清说明不得超出投标文件的范围或者改变投标文件的实质性内容。</w:t>
      </w:r>
    </w:p>
    <w:p w14:paraId="7CCB7D8F">
      <w:pPr>
        <w:snapToGrid w:val="0"/>
        <w:spacing w:line="360" w:lineRule="auto"/>
        <w:ind w:left="325" w:hanging="325" w:hangingChars="155"/>
        <w:rPr>
          <w:rFonts w:ascii="宋体" w:hAnsi="宋体" w:cs="宋体"/>
          <w:sz w:val="21"/>
          <w:szCs w:val="21"/>
        </w:rPr>
      </w:pPr>
      <w:r>
        <w:rPr>
          <w:rFonts w:hint="eastAsia" w:ascii="宋体" w:hAnsi="宋体" w:cs="宋体"/>
          <w:sz w:val="21"/>
          <w:szCs w:val="21"/>
        </w:rPr>
        <w:t>1.4如有必要，评标委员会将要求投标人修正投标文件中不构成实质性偏离的、微小的、非正规的、不一致的或不规则的地方，这些修正不应影响评标的公平公正。</w:t>
      </w:r>
    </w:p>
    <w:p w14:paraId="227FF8C0">
      <w:pPr>
        <w:snapToGrid w:val="0"/>
        <w:spacing w:line="360" w:lineRule="auto"/>
        <w:ind w:left="325" w:hanging="325" w:hangingChars="155"/>
        <w:rPr>
          <w:rFonts w:ascii="宋体" w:hAnsi="宋体" w:cs="宋体"/>
          <w:sz w:val="21"/>
          <w:szCs w:val="21"/>
        </w:rPr>
      </w:pPr>
      <w:r>
        <w:rPr>
          <w:rFonts w:hint="eastAsia" w:ascii="宋体" w:hAnsi="宋体" w:cs="宋体"/>
          <w:sz w:val="21"/>
          <w:szCs w:val="21"/>
        </w:rPr>
        <w:t>1.5参与评标工作的所有人员必须遵守《中华人民共和国政府采购法》、《广东省实施&lt;中华人民共和国政府采购法&gt;办法》及相关法律、法规的规定，以确保评标的公平、公正。</w:t>
      </w:r>
    </w:p>
    <w:p w14:paraId="567D753C">
      <w:pPr>
        <w:pStyle w:val="8"/>
        <w:spacing w:line="360" w:lineRule="auto"/>
        <w:ind w:firstLine="0" w:firstLineChars="0"/>
        <w:rPr>
          <w:rFonts w:ascii="宋体" w:hAnsi="宋体" w:cs="宋体"/>
          <w:kern w:val="0"/>
          <w:sz w:val="21"/>
          <w:szCs w:val="21"/>
        </w:rPr>
      </w:pPr>
      <w:r>
        <w:rPr>
          <w:rFonts w:hint="eastAsia" w:ascii="宋体" w:hAnsi="宋体" w:cs="宋体"/>
          <w:kern w:val="0"/>
          <w:sz w:val="21"/>
          <w:szCs w:val="21"/>
        </w:rPr>
        <w:t>2</w:t>
      </w:r>
      <w:r>
        <w:rPr>
          <w:rFonts w:hint="eastAsia" w:ascii="宋体" w:hAnsi="宋体" w:cs="宋体"/>
          <w:kern w:val="28"/>
          <w:sz w:val="21"/>
          <w:szCs w:val="21"/>
        </w:rPr>
        <w:t>、</w:t>
      </w:r>
      <w:r>
        <w:rPr>
          <w:rFonts w:hint="eastAsia" w:ascii="宋体" w:hAnsi="宋体" w:cs="宋体"/>
          <w:kern w:val="0"/>
          <w:sz w:val="21"/>
          <w:szCs w:val="21"/>
        </w:rPr>
        <w:t>评标方法</w:t>
      </w:r>
    </w:p>
    <w:p w14:paraId="754CA39C">
      <w:pPr>
        <w:snapToGrid w:val="0"/>
        <w:spacing w:line="360" w:lineRule="auto"/>
        <w:ind w:left="304" w:leftChars="150" w:hanging="4" w:hangingChars="2"/>
        <w:rPr>
          <w:rFonts w:ascii="宋体" w:hAnsi="宋体" w:cs="宋体"/>
          <w:sz w:val="21"/>
          <w:szCs w:val="21"/>
          <w:u w:val="single"/>
        </w:rPr>
      </w:pPr>
      <w:r>
        <w:rPr>
          <w:rFonts w:hint="eastAsia" w:ascii="宋体" w:hAnsi="宋体" w:cs="宋体"/>
          <w:sz w:val="21"/>
          <w:szCs w:val="21"/>
        </w:rPr>
        <w:t xml:space="preserve">本次评标采用 </w:t>
      </w:r>
      <w:r>
        <w:rPr>
          <w:rFonts w:hint="eastAsia" w:ascii="宋体" w:hAnsi="宋体" w:cs="宋体"/>
          <w:sz w:val="21"/>
          <w:szCs w:val="21"/>
          <w:u w:val="single"/>
        </w:rPr>
        <w:t>综合评分法。</w:t>
      </w:r>
      <w:r>
        <w:rPr>
          <w:rFonts w:hint="eastAsia" w:ascii="宋体" w:hAnsi="宋体" w:cs="宋体"/>
          <w:sz w:val="21"/>
          <w:szCs w:val="21"/>
        </w:rPr>
        <w:t>评价指标及权重：</w:t>
      </w:r>
    </w:p>
    <w:tbl>
      <w:tblPr>
        <w:tblStyle w:val="24"/>
        <w:tblW w:w="8427" w:type="dxa"/>
        <w:tblInd w:w="58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45"/>
        <w:gridCol w:w="2683"/>
        <w:gridCol w:w="2899"/>
      </w:tblGrid>
      <w:tr w14:paraId="31FBF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2845" w:type="dxa"/>
            <w:vAlign w:val="center"/>
          </w:tcPr>
          <w:p w14:paraId="42EB78CD">
            <w:pPr>
              <w:jc w:val="center"/>
              <w:rPr>
                <w:rFonts w:ascii="宋体" w:hAnsi="宋体" w:cs="宋体"/>
                <w:sz w:val="24"/>
              </w:rPr>
            </w:pPr>
            <w:r>
              <w:rPr>
                <w:rFonts w:hint="eastAsia" w:ascii="宋体" w:hAnsi="宋体" w:cs="宋体"/>
                <w:sz w:val="24"/>
              </w:rPr>
              <w:t>评分项目</w:t>
            </w:r>
          </w:p>
        </w:tc>
        <w:tc>
          <w:tcPr>
            <w:tcW w:w="2683" w:type="dxa"/>
            <w:tcBorders>
              <w:right w:val="single" w:color="auto" w:sz="4" w:space="0"/>
            </w:tcBorders>
            <w:vAlign w:val="center"/>
          </w:tcPr>
          <w:p w14:paraId="4943AF4A">
            <w:pPr>
              <w:jc w:val="center"/>
              <w:rPr>
                <w:rFonts w:ascii="宋体" w:hAnsi="宋体" w:cs="宋体"/>
                <w:sz w:val="24"/>
              </w:rPr>
            </w:pPr>
            <w:r>
              <w:rPr>
                <w:rFonts w:hint="eastAsia" w:ascii="宋体" w:hAnsi="宋体" w:cs="宋体"/>
                <w:sz w:val="24"/>
              </w:rPr>
              <w:t>技术商务比重</w:t>
            </w:r>
          </w:p>
        </w:tc>
        <w:tc>
          <w:tcPr>
            <w:tcW w:w="2899" w:type="dxa"/>
            <w:vAlign w:val="center"/>
          </w:tcPr>
          <w:p w14:paraId="69374408">
            <w:pPr>
              <w:jc w:val="center"/>
              <w:rPr>
                <w:rFonts w:ascii="宋体" w:hAnsi="宋体" w:cs="宋体"/>
                <w:sz w:val="24"/>
              </w:rPr>
            </w:pPr>
            <w:r>
              <w:rPr>
                <w:rFonts w:hint="eastAsia" w:ascii="宋体" w:hAnsi="宋体" w:cs="宋体"/>
                <w:sz w:val="24"/>
              </w:rPr>
              <w:t>价格比重</w:t>
            </w:r>
          </w:p>
        </w:tc>
      </w:tr>
      <w:tr w14:paraId="1D0EA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2845" w:type="dxa"/>
            <w:vAlign w:val="center"/>
          </w:tcPr>
          <w:p w14:paraId="1E4FCE2E">
            <w:pPr>
              <w:spacing w:line="460" w:lineRule="exact"/>
              <w:jc w:val="center"/>
              <w:rPr>
                <w:rFonts w:ascii="宋体" w:hAnsi="宋体" w:cs="宋体"/>
                <w:sz w:val="24"/>
              </w:rPr>
            </w:pPr>
            <w:r>
              <w:rPr>
                <w:rFonts w:hint="eastAsia" w:ascii="宋体" w:hAnsi="宋体" w:cs="宋体"/>
                <w:sz w:val="24"/>
              </w:rPr>
              <w:t>比重分配</w:t>
            </w:r>
          </w:p>
        </w:tc>
        <w:tc>
          <w:tcPr>
            <w:tcW w:w="2683" w:type="dxa"/>
            <w:tcBorders>
              <w:right w:val="single" w:color="auto" w:sz="4" w:space="0"/>
            </w:tcBorders>
            <w:vAlign w:val="center"/>
          </w:tcPr>
          <w:p w14:paraId="516FD6D0">
            <w:pPr>
              <w:spacing w:line="460" w:lineRule="exact"/>
              <w:jc w:val="center"/>
              <w:rPr>
                <w:rFonts w:ascii="宋体" w:hAnsi="宋体" w:cs="宋体"/>
                <w:sz w:val="24"/>
              </w:rPr>
            </w:pPr>
            <w:r>
              <w:rPr>
                <w:rFonts w:hint="eastAsia" w:ascii="宋体" w:hAnsi="宋体" w:cs="宋体"/>
                <w:sz w:val="24"/>
              </w:rPr>
              <w:t>90%</w:t>
            </w:r>
          </w:p>
        </w:tc>
        <w:tc>
          <w:tcPr>
            <w:tcW w:w="2899" w:type="dxa"/>
            <w:vAlign w:val="center"/>
          </w:tcPr>
          <w:p w14:paraId="6C2377BD">
            <w:pPr>
              <w:spacing w:line="460" w:lineRule="exact"/>
              <w:jc w:val="center"/>
              <w:rPr>
                <w:rFonts w:ascii="宋体" w:hAnsi="宋体" w:cs="宋体"/>
                <w:sz w:val="24"/>
              </w:rPr>
            </w:pPr>
            <w:r>
              <w:rPr>
                <w:rFonts w:hint="eastAsia" w:ascii="宋体" w:hAnsi="宋体" w:cs="宋体"/>
                <w:sz w:val="24"/>
              </w:rPr>
              <w:t>10%</w:t>
            </w:r>
          </w:p>
        </w:tc>
      </w:tr>
    </w:tbl>
    <w:p w14:paraId="5A2228CB">
      <w:pPr>
        <w:pStyle w:val="23"/>
        <w:ind w:firstLine="210"/>
        <w:rPr>
          <w:rFonts w:ascii="宋体" w:hAnsi="宋体" w:cs="宋体"/>
          <w:sz w:val="21"/>
          <w:szCs w:val="21"/>
        </w:rPr>
      </w:pPr>
    </w:p>
    <w:p w14:paraId="1866EBA6">
      <w:pPr>
        <w:pStyle w:val="23"/>
        <w:ind w:firstLine="210"/>
        <w:rPr>
          <w:rFonts w:ascii="宋体" w:hAnsi="宋体" w:cs="宋体"/>
          <w:sz w:val="21"/>
          <w:szCs w:val="21"/>
        </w:rPr>
      </w:pPr>
    </w:p>
    <w:p w14:paraId="1A7CE2A1">
      <w:pPr>
        <w:pStyle w:val="23"/>
        <w:ind w:firstLine="210"/>
        <w:rPr>
          <w:rFonts w:ascii="宋体" w:hAnsi="宋体" w:cs="宋体"/>
          <w:sz w:val="21"/>
          <w:szCs w:val="21"/>
        </w:rPr>
      </w:pPr>
    </w:p>
    <w:p w14:paraId="5DDFF158">
      <w:pPr>
        <w:pStyle w:val="23"/>
        <w:ind w:firstLine="210"/>
        <w:rPr>
          <w:rFonts w:ascii="宋体" w:hAnsi="宋体" w:cs="宋体"/>
          <w:sz w:val="21"/>
          <w:szCs w:val="21"/>
        </w:rPr>
      </w:pPr>
    </w:p>
    <w:p w14:paraId="5282E639">
      <w:pPr>
        <w:pStyle w:val="23"/>
        <w:ind w:firstLine="210"/>
        <w:rPr>
          <w:rFonts w:ascii="宋体" w:hAnsi="宋体" w:cs="宋体"/>
          <w:sz w:val="21"/>
          <w:szCs w:val="21"/>
        </w:rPr>
      </w:pPr>
    </w:p>
    <w:p w14:paraId="207E375E">
      <w:pPr>
        <w:pStyle w:val="23"/>
        <w:ind w:firstLine="210"/>
        <w:rPr>
          <w:rFonts w:ascii="宋体" w:hAnsi="宋体" w:cs="宋体"/>
          <w:sz w:val="21"/>
          <w:szCs w:val="21"/>
        </w:rPr>
      </w:pPr>
    </w:p>
    <w:p w14:paraId="3118E0C1">
      <w:pPr>
        <w:pStyle w:val="23"/>
        <w:ind w:firstLine="210"/>
        <w:rPr>
          <w:rFonts w:ascii="宋体" w:hAnsi="宋体" w:cs="宋体"/>
          <w:sz w:val="21"/>
          <w:szCs w:val="21"/>
        </w:rPr>
      </w:pPr>
    </w:p>
    <w:p w14:paraId="3F9697EC">
      <w:pPr>
        <w:pStyle w:val="23"/>
        <w:ind w:firstLine="210"/>
        <w:rPr>
          <w:rFonts w:ascii="宋体" w:hAnsi="宋体" w:cs="宋体"/>
          <w:sz w:val="21"/>
          <w:szCs w:val="21"/>
        </w:rPr>
      </w:pPr>
    </w:p>
    <w:p w14:paraId="00CC07AC">
      <w:pPr>
        <w:pStyle w:val="23"/>
        <w:ind w:firstLine="210"/>
        <w:rPr>
          <w:rFonts w:ascii="宋体" w:hAnsi="宋体" w:cs="宋体"/>
          <w:sz w:val="21"/>
          <w:szCs w:val="21"/>
        </w:rPr>
      </w:pPr>
    </w:p>
    <w:p w14:paraId="6DC27779">
      <w:pPr>
        <w:pStyle w:val="23"/>
        <w:ind w:firstLine="210"/>
        <w:rPr>
          <w:rFonts w:ascii="宋体" w:hAnsi="宋体" w:cs="宋体"/>
          <w:sz w:val="21"/>
          <w:szCs w:val="21"/>
        </w:rPr>
      </w:pPr>
    </w:p>
    <w:p w14:paraId="2F990C04">
      <w:pPr>
        <w:jc w:val="both"/>
        <w:rPr>
          <w:rFonts w:ascii="宋体" w:hAnsi="宋体" w:cs="宋体"/>
          <w:b/>
          <w:sz w:val="24"/>
          <w:szCs w:val="24"/>
        </w:rPr>
      </w:pPr>
    </w:p>
    <w:p w14:paraId="34D724D6">
      <w:pPr>
        <w:pStyle w:val="11"/>
      </w:pPr>
    </w:p>
    <w:p w14:paraId="322EAD9F">
      <w:pPr>
        <w:pStyle w:val="23"/>
        <w:ind w:firstLine="0" w:firstLineChars="0"/>
        <w:jc w:val="center"/>
        <w:rPr>
          <w:rFonts w:ascii="宋体" w:hAnsi="宋体" w:cs="宋体"/>
          <w:b/>
          <w:bCs/>
          <w:sz w:val="24"/>
        </w:rPr>
      </w:pPr>
      <w:r>
        <w:rPr>
          <w:rFonts w:hint="eastAsia" w:ascii="宋体" w:hAnsi="宋体" w:cs="宋体"/>
          <w:b/>
          <w:bCs/>
          <w:sz w:val="24"/>
        </w:rPr>
        <w:t>综合评分表格</w:t>
      </w:r>
    </w:p>
    <w:tbl>
      <w:tblPr>
        <w:tblStyle w:val="24"/>
        <w:tblpPr w:leftFromText="180" w:rightFromText="180" w:vertAnchor="text" w:horzAnchor="page" w:tblpX="921" w:tblpY="341"/>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17"/>
        <w:gridCol w:w="709"/>
        <w:gridCol w:w="6804"/>
      </w:tblGrid>
      <w:tr w14:paraId="22D1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1135" w:type="dxa"/>
            <w:vAlign w:val="center"/>
          </w:tcPr>
          <w:p w14:paraId="752D758A">
            <w:pPr>
              <w:jc w:val="center"/>
              <w:rPr>
                <w:rFonts w:ascii="宋体" w:hAnsi="宋体" w:cs="宋体"/>
                <w:b/>
                <w:bCs/>
                <w:sz w:val="21"/>
                <w:szCs w:val="21"/>
              </w:rPr>
            </w:pPr>
            <w:r>
              <w:rPr>
                <w:rFonts w:hint="eastAsia" w:ascii="宋体" w:hAnsi="宋体" w:cs="宋体"/>
                <w:b/>
                <w:bCs/>
                <w:sz w:val="21"/>
                <w:szCs w:val="21"/>
              </w:rPr>
              <w:t>评价指标</w:t>
            </w:r>
          </w:p>
        </w:tc>
        <w:tc>
          <w:tcPr>
            <w:tcW w:w="1417" w:type="dxa"/>
            <w:vAlign w:val="center"/>
          </w:tcPr>
          <w:p w14:paraId="7BECA6CC">
            <w:pPr>
              <w:jc w:val="center"/>
              <w:rPr>
                <w:rFonts w:ascii="宋体" w:hAnsi="宋体" w:cs="宋体"/>
                <w:b/>
                <w:bCs/>
                <w:sz w:val="21"/>
                <w:szCs w:val="21"/>
              </w:rPr>
            </w:pPr>
            <w:r>
              <w:rPr>
                <w:rFonts w:hint="eastAsia" w:ascii="宋体" w:hAnsi="宋体" w:cs="宋体"/>
                <w:b/>
                <w:bCs/>
                <w:sz w:val="21"/>
                <w:szCs w:val="21"/>
              </w:rPr>
              <w:t>评价指标分项</w:t>
            </w:r>
          </w:p>
        </w:tc>
        <w:tc>
          <w:tcPr>
            <w:tcW w:w="709" w:type="dxa"/>
            <w:vAlign w:val="center"/>
          </w:tcPr>
          <w:p w14:paraId="61F5BF51">
            <w:pPr>
              <w:jc w:val="center"/>
              <w:rPr>
                <w:rFonts w:ascii="宋体" w:hAnsi="宋体" w:cs="宋体"/>
                <w:b/>
                <w:bCs/>
                <w:sz w:val="21"/>
                <w:szCs w:val="21"/>
              </w:rPr>
            </w:pPr>
            <w:r>
              <w:rPr>
                <w:rFonts w:hint="eastAsia" w:ascii="宋体" w:hAnsi="宋体" w:cs="宋体"/>
                <w:b/>
                <w:bCs/>
                <w:sz w:val="21"/>
                <w:szCs w:val="21"/>
              </w:rPr>
              <w:t>分项分值</w:t>
            </w:r>
          </w:p>
        </w:tc>
        <w:tc>
          <w:tcPr>
            <w:tcW w:w="6804" w:type="dxa"/>
            <w:vAlign w:val="center"/>
          </w:tcPr>
          <w:p w14:paraId="05D0F17E">
            <w:pPr>
              <w:jc w:val="center"/>
              <w:rPr>
                <w:rFonts w:ascii="宋体" w:hAnsi="宋体" w:cs="宋体"/>
                <w:b/>
                <w:bCs/>
                <w:sz w:val="21"/>
                <w:szCs w:val="21"/>
              </w:rPr>
            </w:pPr>
            <w:r>
              <w:rPr>
                <w:rFonts w:hint="eastAsia" w:ascii="宋体" w:hAnsi="宋体" w:cs="宋体"/>
                <w:b/>
                <w:bCs/>
                <w:sz w:val="21"/>
                <w:szCs w:val="21"/>
              </w:rPr>
              <w:t>评分细则</w:t>
            </w:r>
          </w:p>
        </w:tc>
      </w:tr>
      <w:tr w14:paraId="722C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1135" w:type="dxa"/>
            <w:vMerge w:val="restart"/>
            <w:vAlign w:val="center"/>
          </w:tcPr>
          <w:p w14:paraId="5EDF59AD">
            <w:pPr>
              <w:jc w:val="center"/>
              <w:rPr>
                <w:rFonts w:ascii="宋体" w:hAnsi="宋体" w:cs="宋体"/>
                <w:sz w:val="21"/>
                <w:szCs w:val="21"/>
              </w:rPr>
            </w:pPr>
            <w:r>
              <w:rPr>
                <w:rFonts w:hint="eastAsia" w:ascii="宋体" w:hAnsi="宋体" w:cs="宋体"/>
                <w:sz w:val="21"/>
                <w:szCs w:val="21"/>
              </w:rPr>
              <w:t>商务技术部分</w:t>
            </w:r>
          </w:p>
          <w:p w14:paraId="37FADEF0">
            <w:pPr>
              <w:jc w:val="center"/>
              <w:rPr>
                <w:rFonts w:ascii="宋体" w:hAnsi="宋体" w:cs="宋体"/>
                <w:sz w:val="21"/>
                <w:szCs w:val="21"/>
              </w:rPr>
            </w:pPr>
            <w:r>
              <w:rPr>
                <w:rFonts w:hint="eastAsia" w:ascii="宋体" w:hAnsi="宋体" w:cs="宋体"/>
                <w:sz w:val="21"/>
                <w:szCs w:val="21"/>
              </w:rPr>
              <w:t>（70分）</w:t>
            </w:r>
          </w:p>
        </w:tc>
        <w:tc>
          <w:tcPr>
            <w:tcW w:w="1417" w:type="dxa"/>
            <w:vAlign w:val="center"/>
          </w:tcPr>
          <w:p w14:paraId="288DD63C">
            <w:pPr>
              <w:snapToGrid w:val="0"/>
              <w:spacing w:line="360" w:lineRule="auto"/>
              <w:jc w:val="center"/>
              <w:rPr>
                <w:rFonts w:ascii="宋体" w:hAnsi="宋体"/>
                <w:sz w:val="21"/>
                <w:szCs w:val="21"/>
              </w:rPr>
            </w:pPr>
            <w:r>
              <w:rPr>
                <w:rFonts w:hint="eastAsia" w:ascii="宋体" w:hAnsi="宋体" w:cs="宋体"/>
              </w:rPr>
              <w:t>服务方案</w:t>
            </w:r>
          </w:p>
        </w:tc>
        <w:tc>
          <w:tcPr>
            <w:tcW w:w="709" w:type="dxa"/>
            <w:vAlign w:val="center"/>
          </w:tcPr>
          <w:p w14:paraId="0642C61A">
            <w:pPr>
              <w:snapToGrid w:val="0"/>
              <w:spacing w:line="360" w:lineRule="auto"/>
              <w:jc w:val="center"/>
              <w:rPr>
                <w:rFonts w:ascii="宋体" w:hAnsi="宋体"/>
                <w:sz w:val="21"/>
                <w:szCs w:val="21"/>
              </w:rPr>
            </w:pPr>
            <w:r>
              <w:rPr>
                <w:rFonts w:hint="eastAsia" w:ascii="宋体" w:hAnsi="宋体"/>
                <w:sz w:val="21"/>
                <w:szCs w:val="21"/>
              </w:rPr>
              <w:t>30分</w:t>
            </w:r>
          </w:p>
        </w:tc>
        <w:tc>
          <w:tcPr>
            <w:tcW w:w="6804" w:type="dxa"/>
            <w:vAlign w:val="center"/>
          </w:tcPr>
          <w:p w14:paraId="249147CE">
            <w:pPr>
              <w:pStyle w:val="55"/>
              <w:ind w:firstLine="0" w:firstLineChars="0"/>
              <w:rPr>
                <w:rFonts w:ascii="宋体" w:hAnsi="宋体" w:cs="宋体"/>
                <w:szCs w:val="20"/>
              </w:rPr>
            </w:pPr>
            <w:r>
              <w:rPr>
                <w:rFonts w:ascii="宋体" w:hAnsi="宋体" w:cs="宋体"/>
                <w:szCs w:val="20"/>
              </w:rPr>
              <w:t>根据投标人提供的</w:t>
            </w:r>
            <w:r>
              <w:rPr>
                <w:rFonts w:hint="eastAsia" w:ascii="宋体" w:hAnsi="宋体" w:cs="宋体"/>
                <w:szCs w:val="20"/>
              </w:rPr>
              <w:t>服务方案（整体方案、工作流程及进度控制方案等）整体评价：</w:t>
            </w:r>
          </w:p>
          <w:p w14:paraId="2902DD24">
            <w:pPr>
              <w:pStyle w:val="55"/>
              <w:numPr>
                <w:ilvl w:val="255"/>
                <w:numId w:val="0"/>
              </w:numPr>
              <w:rPr>
                <w:rFonts w:ascii="宋体" w:hAnsi="宋体" w:cs="宋体"/>
                <w:szCs w:val="20"/>
              </w:rPr>
            </w:pPr>
            <w:r>
              <w:rPr>
                <w:rFonts w:hint="eastAsia" w:ascii="宋体" w:hAnsi="宋体" w:cs="宋体"/>
                <w:szCs w:val="20"/>
              </w:rPr>
              <w:t>1. 方案详细具体、工作流程清晰、进度控制措施可行、可直接指导项目实施，得</w:t>
            </w:r>
            <w:r>
              <w:rPr>
                <w:rFonts w:ascii="宋体" w:hAnsi="宋体" w:cs="宋体"/>
                <w:szCs w:val="20"/>
              </w:rPr>
              <w:t>30</w:t>
            </w:r>
            <w:r>
              <w:rPr>
                <w:rFonts w:hint="eastAsia" w:ascii="宋体" w:hAnsi="宋体" w:cs="宋体"/>
                <w:szCs w:val="20"/>
              </w:rPr>
              <w:t>分；</w:t>
            </w:r>
          </w:p>
          <w:p w14:paraId="28B00F4D">
            <w:pPr>
              <w:pStyle w:val="55"/>
              <w:numPr>
                <w:ilvl w:val="255"/>
                <w:numId w:val="0"/>
              </w:numPr>
              <w:rPr>
                <w:rFonts w:ascii="宋体" w:hAnsi="宋体" w:cs="宋体"/>
                <w:szCs w:val="20"/>
              </w:rPr>
            </w:pPr>
            <w:r>
              <w:rPr>
                <w:rFonts w:ascii="宋体" w:hAnsi="宋体" w:cs="宋体"/>
                <w:szCs w:val="20"/>
              </w:rPr>
              <w:t>2.</w:t>
            </w:r>
            <w:r>
              <w:rPr>
                <w:rFonts w:hint="eastAsia" w:ascii="宋体" w:hAnsi="宋体" w:cs="宋体"/>
                <w:szCs w:val="20"/>
              </w:rPr>
              <w:t>方案完善、工作流程基本清晰、进度控制措施基本可行，得</w:t>
            </w:r>
            <w:r>
              <w:rPr>
                <w:rFonts w:ascii="宋体" w:hAnsi="宋体" w:cs="宋体"/>
                <w:szCs w:val="20"/>
              </w:rPr>
              <w:t>20</w:t>
            </w:r>
            <w:r>
              <w:rPr>
                <w:rFonts w:hint="eastAsia" w:ascii="宋体" w:hAnsi="宋体" w:cs="宋体"/>
                <w:szCs w:val="20"/>
              </w:rPr>
              <w:t>分；</w:t>
            </w:r>
          </w:p>
          <w:p w14:paraId="513F427E">
            <w:pPr>
              <w:pStyle w:val="55"/>
              <w:numPr>
                <w:ilvl w:val="255"/>
                <w:numId w:val="0"/>
              </w:numPr>
              <w:rPr>
                <w:rFonts w:ascii="宋体" w:hAnsi="宋体" w:cs="宋体"/>
                <w:szCs w:val="20"/>
              </w:rPr>
            </w:pPr>
            <w:r>
              <w:rPr>
                <w:rFonts w:ascii="宋体" w:hAnsi="宋体" w:cs="宋体"/>
                <w:szCs w:val="20"/>
              </w:rPr>
              <w:t>3.方案内容基本齐全、工作流程不够清晰、可操作性一般</w:t>
            </w:r>
            <w:r>
              <w:rPr>
                <w:rFonts w:hint="eastAsia" w:ascii="宋体" w:hAnsi="宋体" w:cs="宋体"/>
                <w:szCs w:val="20"/>
              </w:rPr>
              <w:t>，得</w:t>
            </w:r>
            <w:r>
              <w:rPr>
                <w:rFonts w:ascii="宋体" w:hAnsi="宋体" w:cs="宋体"/>
                <w:szCs w:val="20"/>
              </w:rPr>
              <w:t>10</w:t>
            </w:r>
            <w:r>
              <w:rPr>
                <w:rFonts w:hint="eastAsia" w:ascii="宋体" w:hAnsi="宋体" w:cs="宋体"/>
                <w:szCs w:val="20"/>
              </w:rPr>
              <w:t>分；</w:t>
            </w:r>
          </w:p>
          <w:p w14:paraId="4C1E01D0">
            <w:pPr>
              <w:snapToGrid w:val="0"/>
              <w:spacing w:line="360" w:lineRule="auto"/>
              <w:rPr>
                <w:rFonts w:ascii="宋体" w:hAnsi="宋体"/>
                <w:sz w:val="21"/>
                <w:szCs w:val="21"/>
              </w:rPr>
            </w:pPr>
            <w:r>
              <w:rPr>
                <w:rFonts w:hint="eastAsia" w:ascii="宋体" w:hAnsi="宋体" w:cs="宋体"/>
              </w:rPr>
              <w:t>注：未提供不得分</w:t>
            </w:r>
            <w:r>
              <w:rPr>
                <w:rFonts w:hint="eastAsia" w:ascii="宋体" w:hAnsi="宋体"/>
                <w:b/>
                <w:sz w:val="21"/>
                <w:szCs w:val="21"/>
              </w:rPr>
              <w:t>。</w:t>
            </w:r>
          </w:p>
        </w:tc>
      </w:tr>
      <w:tr w14:paraId="10C6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1135" w:type="dxa"/>
            <w:vMerge w:val="continue"/>
            <w:vAlign w:val="center"/>
          </w:tcPr>
          <w:p w14:paraId="5842333D">
            <w:pPr>
              <w:jc w:val="center"/>
              <w:rPr>
                <w:rFonts w:ascii="宋体" w:hAnsi="宋体" w:cs="宋体"/>
                <w:sz w:val="21"/>
                <w:szCs w:val="21"/>
              </w:rPr>
            </w:pPr>
          </w:p>
        </w:tc>
        <w:tc>
          <w:tcPr>
            <w:tcW w:w="1417" w:type="dxa"/>
            <w:vAlign w:val="center"/>
          </w:tcPr>
          <w:p w14:paraId="5FD25916">
            <w:pPr>
              <w:snapToGrid w:val="0"/>
              <w:spacing w:line="360" w:lineRule="auto"/>
              <w:jc w:val="center"/>
              <w:rPr>
                <w:rFonts w:ascii="宋体" w:hAnsi="宋体"/>
                <w:sz w:val="21"/>
                <w:szCs w:val="21"/>
              </w:rPr>
            </w:pPr>
            <w:r>
              <w:rPr>
                <w:rFonts w:hint="eastAsia" w:ascii="宋体" w:hAnsi="宋体"/>
                <w:sz w:val="21"/>
                <w:szCs w:val="21"/>
              </w:rPr>
              <w:t>项目团队</w:t>
            </w:r>
          </w:p>
          <w:p w14:paraId="34018748">
            <w:pPr>
              <w:snapToGrid w:val="0"/>
              <w:spacing w:line="360" w:lineRule="auto"/>
              <w:jc w:val="center"/>
              <w:rPr>
                <w:rFonts w:ascii="宋体" w:hAnsi="宋体"/>
                <w:sz w:val="21"/>
                <w:szCs w:val="21"/>
              </w:rPr>
            </w:pPr>
            <w:r>
              <w:rPr>
                <w:rFonts w:hint="eastAsia" w:ascii="宋体" w:hAnsi="宋体"/>
                <w:sz w:val="21"/>
                <w:szCs w:val="21"/>
              </w:rPr>
              <w:t>实力</w:t>
            </w:r>
          </w:p>
        </w:tc>
        <w:tc>
          <w:tcPr>
            <w:tcW w:w="709" w:type="dxa"/>
            <w:vAlign w:val="center"/>
          </w:tcPr>
          <w:p w14:paraId="55CB02A4">
            <w:pPr>
              <w:snapToGrid w:val="0"/>
              <w:spacing w:line="360" w:lineRule="auto"/>
              <w:jc w:val="center"/>
              <w:rPr>
                <w:rFonts w:ascii="宋体" w:hAnsi="宋体"/>
                <w:sz w:val="21"/>
                <w:szCs w:val="21"/>
              </w:rPr>
            </w:pPr>
            <w:r>
              <w:rPr>
                <w:rFonts w:hint="eastAsia" w:ascii="宋体" w:hAnsi="宋体"/>
                <w:sz w:val="21"/>
                <w:szCs w:val="21"/>
              </w:rPr>
              <w:t>30分</w:t>
            </w:r>
          </w:p>
        </w:tc>
        <w:tc>
          <w:tcPr>
            <w:tcW w:w="6804" w:type="dxa"/>
            <w:vAlign w:val="center"/>
          </w:tcPr>
          <w:p w14:paraId="34DFD140">
            <w:pPr>
              <w:keepNext/>
              <w:numPr>
                <w:ilvl w:val="0"/>
                <w:numId w:val="1"/>
              </w:numPr>
              <w:snapToGrid w:val="0"/>
              <w:spacing w:before="120" w:after="120"/>
              <w:rPr>
                <w:rFonts w:ascii="宋体" w:hAnsi="宋体" w:cs="宋体"/>
              </w:rPr>
            </w:pPr>
            <w:r>
              <w:rPr>
                <w:rFonts w:hint="eastAsia" w:ascii="宋体" w:hAnsi="宋体" w:cs="宋体"/>
              </w:rPr>
              <w:t>项目团队配置齐全，职称结构合理，核心人员资质完备（核心人员至少2人具备中级及以上职称）、经验丰富，项目负责人有5年及以上同类改造经验，得30分；</w:t>
            </w:r>
          </w:p>
          <w:p w14:paraId="61C74A44">
            <w:pPr>
              <w:keepNext/>
              <w:numPr>
                <w:ilvl w:val="0"/>
                <w:numId w:val="1"/>
              </w:numPr>
              <w:snapToGrid w:val="0"/>
              <w:spacing w:before="120" w:after="120"/>
              <w:rPr>
                <w:rFonts w:ascii="宋体" w:hAnsi="宋体"/>
                <w:b/>
                <w:sz w:val="21"/>
                <w:szCs w:val="21"/>
              </w:rPr>
            </w:pPr>
            <w:r>
              <w:rPr>
                <w:rFonts w:hint="eastAsia" w:ascii="宋体" w:hAnsi="宋体" w:cs="宋体"/>
              </w:rPr>
              <w:t>项目团队配置基本齐全，核心人员资质达标（核心人员至少2人具备中级及以上职称），项目负责人有3-4年同类改造经验，得20分；</w:t>
            </w:r>
          </w:p>
          <w:p w14:paraId="7D8F553C">
            <w:pPr>
              <w:keepNext/>
              <w:numPr>
                <w:ilvl w:val="0"/>
                <w:numId w:val="1"/>
              </w:numPr>
              <w:snapToGrid w:val="0"/>
              <w:spacing w:before="120" w:after="120"/>
              <w:rPr>
                <w:rFonts w:ascii="宋体" w:hAnsi="宋体"/>
                <w:b/>
                <w:sz w:val="21"/>
                <w:szCs w:val="21"/>
              </w:rPr>
            </w:pPr>
            <w:r>
              <w:rPr>
                <w:rFonts w:hint="eastAsia" w:ascii="宋体" w:hAnsi="宋体" w:cs="宋体"/>
              </w:rPr>
              <w:t>项目团队配置不足，核心人员资质不达标，或项目负责人有0-3年同类项目经验</w:t>
            </w:r>
            <w:bookmarkStart w:id="15" w:name="_GoBack"/>
            <w:bookmarkEnd w:id="15"/>
            <w:r>
              <w:rPr>
                <w:rFonts w:hint="eastAsia" w:ascii="宋体" w:hAnsi="宋体" w:cs="宋体"/>
              </w:rPr>
              <w:t>，得10分。</w:t>
            </w:r>
          </w:p>
          <w:p w14:paraId="1ACAECE5">
            <w:pPr>
              <w:keepNext/>
              <w:snapToGrid w:val="0"/>
              <w:spacing w:before="120" w:after="120"/>
              <w:rPr>
                <w:rFonts w:ascii="宋体" w:hAnsi="宋体" w:cs="宋体"/>
              </w:rPr>
            </w:pPr>
            <w:r>
              <w:rPr>
                <w:rFonts w:hint="eastAsia" w:ascii="宋体" w:hAnsi="宋体" w:cs="宋体"/>
              </w:rPr>
              <w:t>（需提供相关证明材料）</w:t>
            </w:r>
          </w:p>
          <w:p w14:paraId="4E095055">
            <w:pPr>
              <w:keepNext/>
              <w:numPr>
                <w:ilvl w:val="255"/>
                <w:numId w:val="0"/>
              </w:numPr>
              <w:snapToGrid w:val="0"/>
              <w:spacing w:before="120" w:after="120"/>
              <w:rPr>
                <w:rFonts w:ascii="宋体" w:hAnsi="宋体"/>
                <w:b/>
                <w:sz w:val="21"/>
                <w:szCs w:val="21"/>
              </w:rPr>
            </w:pPr>
            <w:r>
              <w:rPr>
                <w:rFonts w:hint="eastAsia" w:ascii="宋体" w:hAnsi="宋体" w:cs="宋体"/>
              </w:rPr>
              <w:t>注：未提供不得分</w:t>
            </w:r>
            <w:r>
              <w:rPr>
                <w:rFonts w:hint="eastAsia" w:ascii="宋体" w:hAnsi="宋体"/>
                <w:b/>
                <w:sz w:val="21"/>
                <w:szCs w:val="21"/>
              </w:rPr>
              <w:t>。</w:t>
            </w:r>
          </w:p>
        </w:tc>
      </w:tr>
      <w:tr w14:paraId="0DC9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135" w:type="dxa"/>
            <w:vMerge w:val="continue"/>
            <w:vAlign w:val="center"/>
          </w:tcPr>
          <w:p w14:paraId="24845072">
            <w:pPr>
              <w:jc w:val="center"/>
              <w:rPr>
                <w:rFonts w:ascii="宋体" w:hAnsi="宋体" w:cs="宋体"/>
                <w:sz w:val="21"/>
                <w:szCs w:val="21"/>
              </w:rPr>
            </w:pPr>
          </w:p>
        </w:tc>
        <w:tc>
          <w:tcPr>
            <w:tcW w:w="1417" w:type="dxa"/>
            <w:vAlign w:val="center"/>
          </w:tcPr>
          <w:p w14:paraId="2D007806">
            <w:pPr>
              <w:spacing w:line="400" w:lineRule="exact"/>
              <w:jc w:val="center"/>
              <w:rPr>
                <w:rFonts w:ascii="宋体" w:hAnsi="宋体" w:cs="宋体"/>
                <w:sz w:val="21"/>
                <w:szCs w:val="21"/>
              </w:rPr>
            </w:pPr>
            <w:r>
              <w:rPr>
                <w:rFonts w:hint="eastAsia" w:ascii="宋体" w:hAnsi="宋体" w:cs="宋体"/>
                <w:sz w:val="21"/>
                <w:szCs w:val="21"/>
              </w:rPr>
              <w:t>项目业绩</w:t>
            </w:r>
          </w:p>
        </w:tc>
        <w:tc>
          <w:tcPr>
            <w:tcW w:w="709" w:type="dxa"/>
            <w:vAlign w:val="center"/>
          </w:tcPr>
          <w:p w14:paraId="4CC9F62F">
            <w:pPr>
              <w:spacing w:line="400" w:lineRule="exact"/>
              <w:jc w:val="center"/>
              <w:rPr>
                <w:rFonts w:ascii="宋体" w:hAnsi="宋体" w:cs="宋体"/>
                <w:sz w:val="21"/>
                <w:szCs w:val="21"/>
              </w:rPr>
            </w:pPr>
            <w:r>
              <w:rPr>
                <w:rFonts w:hint="eastAsia" w:ascii="宋体" w:hAnsi="宋体" w:cs="宋体"/>
                <w:sz w:val="21"/>
                <w:szCs w:val="21"/>
              </w:rPr>
              <w:t>30分</w:t>
            </w:r>
          </w:p>
        </w:tc>
        <w:tc>
          <w:tcPr>
            <w:tcW w:w="6804" w:type="dxa"/>
            <w:vAlign w:val="center"/>
          </w:tcPr>
          <w:p w14:paraId="457E3F93">
            <w:pPr>
              <w:keepNext/>
              <w:snapToGrid w:val="0"/>
              <w:spacing w:before="120" w:after="120"/>
              <w:rPr>
                <w:rFonts w:ascii="宋体" w:hAnsi="宋体" w:cs="宋体"/>
              </w:rPr>
            </w:pPr>
            <w:r>
              <w:rPr>
                <w:rFonts w:hint="eastAsia" w:ascii="宋体" w:hAnsi="宋体" w:cs="宋体"/>
              </w:rPr>
              <w:t>1.近3年有室内装修改造设计或室内办公设计业绩且已竣工的，每提供1项有效业绩得5分，满分20分（超过4项按4项计算）；</w:t>
            </w:r>
          </w:p>
          <w:p w14:paraId="1BE80FF7">
            <w:pPr>
              <w:keepNext/>
              <w:snapToGrid w:val="0"/>
              <w:spacing w:before="120" w:after="120"/>
              <w:rPr>
                <w:rFonts w:ascii="宋体" w:hAnsi="宋体" w:cs="宋体"/>
              </w:rPr>
            </w:pPr>
            <w:r>
              <w:rPr>
                <w:rFonts w:hint="eastAsia" w:ascii="宋体" w:hAnsi="宋体" w:cs="宋体"/>
              </w:rPr>
              <w:t>2.若提供近3年类似“病房改办公区”同类项目业绩，每增加1项，得5分，满分10分；（超过2项按2项计算）</w:t>
            </w:r>
          </w:p>
          <w:p w14:paraId="0D377BBF">
            <w:pPr>
              <w:keepNext/>
              <w:snapToGrid w:val="0"/>
              <w:spacing w:before="120" w:after="120"/>
              <w:rPr>
                <w:rFonts w:ascii="宋体" w:hAnsi="宋体" w:cs="宋体"/>
                <w:sz w:val="21"/>
                <w:szCs w:val="21"/>
              </w:rPr>
            </w:pPr>
            <w:r>
              <w:rPr>
                <w:rFonts w:hint="eastAsia" w:ascii="宋体" w:hAnsi="宋体" w:cs="宋体"/>
              </w:rPr>
              <w:t>注：业绩需提供完整的合同复印件、竣工证明复印件，所有材料需加盖投标人公章，原件备查，否则该业绩不计分；无相关业绩不得分。注：需提供业绩合同、竣工证明复印件，否则不计分</w:t>
            </w:r>
          </w:p>
        </w:tc>
      </w:tr>
      <w:tr w14:paraId="65FD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1135" w:type="dxa"/>
            <w:tcBorders>
              <w:right w:val="single" w:color="auto" w:sz="4" w:space="0"/>
            </w:tcBorders>
            <w:vAlign w:val="center"/>
          </w:tcPr>
          <w:p w14:paraId="6B3BC22F">
            <w:pPr>
              <w:jc w:val="center"/>
              <w:rPr>
                <w:rFonts w:ascii="宋体" w:hAnsi="宋体" w:cs="宋体"/>
                <w:sz w:val="21"/>
                <w:szCs w:val="21"/>
              </w:rPr>
            </w:pPr>
            <w:r>
              <w:rPr>
                <w:rFonts w:hint="eastAsia" w:ascii="宋体" w:hAnsi="宋体" w:cs="宋体"/>
                <w:sz w:val="21"/>
                <w:szCs w:val="21"/>
              </w:rPr>
              <w:t>经济部分（10分）</w:t>
            </w:r>
          </w:p>
        </w:tc>
        <w:tc>
          <w:tcPr>
            <w:tcW w:w="1417" w:type="dxa"/>
            <w:tcBorders>
              <w:right w:val="single" w:color="auto" w:sz="4" w:space="0"/>
            </w:tcBorders>
            <w:vAlign w:val="center"/>
          </w:tcPr>
          <w:p w14:paraId="5B46A1E4">
            <w:pPr>
              <w:jc w:val="center"/>
              <w:rPr>
                <w:rFonts w:ascii="宋体" w:hAnsi="宋体" w:cs="宋体"/>
                <w:sz w:val="21"/>
                <w:szCs w:val="21"/>
              </w:rPr>
            </w:pPr>
            <w:r>
              <w:rPr>
                <w:rFonts w:hint="eastAsia" w:ascii="宋体" w:hAnsi="宋体" w:cs="宋体"/>
                <w:sz w:val="21"/>
                <w:szCs w:val="21"/>
              </w:rPr>
              <w:t>价格</w:t>
            </w:r>
          </w:p>
        </w:tc>
        <w:tc>
          <w:tcPr>
            <w:tcW w:w="709" w:type="dxa"/>
            <w:tcBorders>
              <w:top w:val="single" w:color="auto" w:sz="4" w:space="0"/>
              <w:left w:val="single" w:color="auto" w:sz="4" w:space="0"/>
              <w:bottom w:val="single" w:color="auto" w:sz="4" w:space="0"/>
              <w:right w:val="single" w:color="auto" w:sz="4" w:space="0"/>
            </w:tcBorders>
            <w:vAlign w:val="center"/>
          </w:tcPr>
          <w:p w14:paraId="2DD5CDB9">
            <w:pPr>
              <w:jc w:val="center"/>
              <w:rPr>
                <w:rFonts w:ascii="宋体" w:hAnsi="宋体" w:cs="宋体"/>
                <w:sz w:val="21"/>
                <w:szCs w:val="21"/>
              </w:rPr>
            </w:pPr>
            <w:r>
              <w:rPr>
                <w:rFonts w:hint="eastAsia" w:ascii="宋体" w:hAnsi="宋体" w:cs="宋体"/>
                <w:sz w:val="21"/>
                <w:szCs w:val="21"/>
              </w:rPr>
              <w:t>10分</w:t>
            </w:r>
          </w:p>
        </w:tc>
        <w:tc>
          <w:tcPr>
            <w:tcW w:w="6804" w:type="dxa"/>
            <w:tcBorders>
              <w:top w:val="single" w:color="auto" w:sz="4" w:space="0"/>
              <w:left w:val="single" w:color="auto" w:sz="4" w:space="0"/>
              <w:bottom w:val="single" w:color="auto" w:sz="4" w:space="0"/>
              <w:right w:val="single" w:color="auto" w:sz="4" w:space="0"/>
            </w:tcBorders>
            <w:vAlign w:val="center"/>
          </w:tcPr>
          <w:p w14:paraId="1B66E36D">
            <w:pPr>
              <w:keepNext/>
              <w:snapToGrid w:val="0"/>
              <w:spacing w:before="120" w:after="120"/>
              <w:rPr>
                <w:rFonts w:ascii="宋体" w:hAnsi="宋体" w:cs="宋体"/>
              </w:rPr>
            </w:pPr>
            <w:r>
              <w:rPr>
                <w:rFonts w:hint="eastAsia" w:ascii="宋体" w:hAnsi="宋体" w:cs="宋体"/>
              </w:rPr>
              <w:t>投标报价得分=(评标基准价/评标价)×10%×100</w:t>
            </w:r>
          </w:p>
          <w:p w14:paraId="378E4C8F">
            <w:pPr>
              <w:keepNext/>
              <w:snapToGrid w:val="0"/>
              <w:spacing w:before="120" w:after="120"/>
              <w:rPr>
                <w:rFonts w:ascii="宋体" w:hAnsi="宋体" w:cs="宋体"/>
                <w:sz w:val="21"/>
                <w:szCs w:val="21"/>
              </w:rPr>
            </w:pPr>
            <w:r>
              <w:rPr>
                <w:rFonts w:hint="eastAsia" w:ascii="宋体" w:hAnsi="宋体" w:cs="宋体"/>
              </w:rPr>
              <w:t>注：综合评分法中的价格分统一采用低价优先法计算，即满足采购文件要求且投标价格最低的有效投标报价为评标基准价，其价格分为满分。</w:t>
            </w:r>
          </w:p>
        </w:tc>
      </w:tr>
    </w:tbl>
    <w:p w14:paraId="32733B4B">
      <w:pPr>
        <w:widowControl/>
        <w:adjustRightInd/>
        <w:spacing w:before="120" w:line="360" w:lineRule="auto"/>
        <w:rPr>
          <w:rFonts w:ascii="宋体" w:hAnsi="宋体" w:cs="宋体"/>
          <w:sz w:val="21"/>
          <w:szCs w:val="21"/>
        </w:rPr>
      </w:pPr>
    </w:p>
    <w:p w14:paraId="5536E4D8">
      <w:pPr>
        <w:pStyle w:val="8"/>
        <w:spacing w:line="360" w:lineRule="auto"/>
        <w:ind w:firstLine="0" w:firstLineChars="0"/>
        <w:rPr>
          <w:rFonts w:ascii="宋体" w:hAnsi="宋体" w:cs="宋体"/>
          <w:kern w:val="0"/>
          <w:sz w:val="21"/>
          <w:szCs w:val="21"/>
        </w:rPr>
      </w:pPr>
      <w:r>
        <w:rPr>
          <w:rFonts w:hint="eastAsia" w:ascii="宋体" w:hAnsi="宋体" w:cs="宋体"/>
          <w:kern w:val="0"/>
          <w:sz w:val="21"/>
          <w:szCs w:val="21"/>
        </w:rPr>
        <w:t>3</w:t>
      </w:r>
      <w:r>
        <w:rPr>
          <w:rFonts w:hint="eastAsia" w:ascii="宋体" w:hAnsi="宋体" w:cs="宋体"/>
          <w:kern w:val="28"/>
          <w:sz w:val="21"/>
          <w:szCs w:val="21"/>
        </w:rPr>
        <w:t>、</w:t>
      </w:r>
      <w:r>
        <w:rPr>
          <w:rFonts w:hint="eastAsia" w:ascii="宋体" w:hAnsi="宋体" w:cs="宋体"/>
          <w:kern w:val="0"/>
          <w:sz w:val="21"/>
          <w:szCs w:val="21"/>
        </w:rPr>
        <w:t>评标步骤</w:t>
      </w:r>
    </w:p>
    <w:p w14:paraId="381F8CB8">
      <w:pPr>
        <w:snapToGrid w:val="0"/>
        <w:spacing w:line="360" w:lineRule="auto"/>
        <w:ind w:left="325" w:hanging="325" w:hangingChars="155"/>
        <w:rPr>
          <w:rFonts w:ascii="宋体" w:hAnsi="宋体" w:cs="宋体"/>
          <w:sz w:val="21"/>
          <w:szCs w:val="21"/>
        </w:rPr>
      </w:pPr>
      <w:r>
        <w:rPr>
          <w:rFonts w:hint="eastAsia" w:ascii="宋体" w:hAnsi="宋体" w:cs="宋体"/>
          <w:sz w:val="21"/>
          <w:szCs w:val="21"/>
        </w:rPr>
        <w:t>3.1先对所有投标文件进行初步评审，初步评审包括资格性审查和符合性审查，由评标委员会依法完成，然后再由评标委员会对通过了初步评审的有效投标文件进行技术、商务及价格的详细评审。只有通过初步评审的投标才能进入详细的评审。最后评标委员会出具评标报告，并排序推荐三位中标候选人。</w:t>
      </w:r>
    </w:p>
    <w:p w14:paraId="6ECC9497">
      <w:pPr>
        <w:pStyle w:val="8"/>
        <w:spacing w:line="360" w:lineRule="auto"/>
        <w:ind w:firstLine="0" w:firstLineChars="0"/>
        <w:rPr>
          <w:rFonts w:ascii="宋体" w:hAnsi="宋体" w:cs="宋体"/>
          <w:kern w:val="0"/>
          <w:sz w:val="21"/>
          <w:szCs w:val="21"/>
        </w:rPr>
      </w:pPr>
      <w:r>
        <w:rPr>
          <w:rFonts w:hint="eastAsia" w:ascii="宋体" w:hAnsi="宋体" w:cs="宋体"/>
          <w:kern w:val="0"/>
          <w:sz w:val="21"/>
          <w:szCs w:val="21"/>
        </w:rPr>
        <w:t>4</w:t>
      </w:r>
      <w:r>
        <w:rPr>
          <w:rFonts w:hint="eastAsia" w:ascii="宋体" w:hAnsi="宋体" w:cs="宋体"/>
          <w:kern w:val="28"/>
          <w:sz w:val="21"/>
          <w:szCs w:val="21"/>
        </w:rPr>
        <w:t>、</w:t>
      </w:r>
      <w:r>
        <w:rPr>
          <w:rFonts w:hint="eastAsia" w:ascii="宋体" w:hAnsi="宋体" w:cs="宋体"/>
          <w:sz w:val="21"/>
          <w:szCs w:val="21"/>
        </w:rPr>
        <w:t>评分及其统计</w:t>
      </w:r>
    </w:p>
    <w:p w14:paraId="2B2D9B30">
      <w:pPr>
        <w:snapToGrid w:val="0"/>
        <w:spacing w:line="360" w:lineRule="auto"/>
        <w:ind w:left="325" w:hanging="325" w:hangingChars="155"/>
        <w:rPr>
          <w:rFonts w:ascii="宋体" w:hAnsi="宋体" w:cs="宋体"/>
          <w:sz w:val="21"/>
          <w:szCs w:val="21"/>
          <w:u w:val="single"/>
        </w:rPr>
      </w:pPr>
      <w:r>
        <w:rPr>
          <w:rFonts w:hint="eastAsia" w:ascii="宋体" w:hAnsi="宋体" w:cs="宋体"/>
          <w:sz w:val="21"/>
          <w:szCs w:val="21"/>
        </w:rPr>
        <w:t>4.1按照评标程序、评分标准以及权重分配的规定，评标委员会各成员分别首先就各个投标人的技术状况、商务状况及其对采购文件要求的响应情况进行评议和比较，评出其技术商务评分。将各投标人的技术商务评分和价格评分分别乘以权重并相加得出其综合得分。将各综合得分由高到低顺序排列，综合得分最高的投标人为第一中标候选人，综合得分次高的投标人为第二中标候选人，综合得分次次高的投标人为第三中标候选人。</w:t>
      </w:r>
    </w:p>
    <w:p w14:paraId="2F712DD4">
      <w:pPr>
        <w:pStyle w:val="11"/>
        <w:rPr>
          <w:rFonts w:ascii="宋体" w:hAnsi="宋体" w:cs="宋体"/>
          <w:b/>
          <w:bCs/>
          <w:sz w:val="21"/>
          <w:szCs w:val="21"/>
        </w:rPr>
      </w:pPr>
      <w:bookmarkStart w:id="7" w:name="_Toc18758"/>
      <w:r>
        <w:rPr>
          <w:rFonts w:hint="eastAsia" w:ascii="宋体" w:hAnsi="宋体" w:cs="宋体"/>
          <w:b/>
          <w:bCs/>
          <w:sz w:val="21"/>
          <w:szCs w:val="21"/>
        </w:rPr>
        <w:t>二、初步评审</w:t>
      </w:r>
      <w:bookmarkEnd w:id="7"/>
    </w:p>
    <w:p w14:paraId="7FC6906F">
      <w:pPr>
        <w:snapToGrid w:val="0"/>
        <w:spacing w:line="360" w:lineRule="auto"/>
        <w:ind w:firstLine="420" w:firstLineChars="200"/>
        <w:rPr>
          <w:rFonts w:ascii="宋体" w:hAnsi="宋体" w:cs="宋体"/>
          <w:sz w:val="21"/>
          <w:szCs w:val="21"/>
        </w:rPr>
      </w:pPr>
      <w:r>
        <w:rPr>
          <w:rFonts w:hint="eastAsia" w:ascii="宋体" w:hAnsi="宋体" w:cs="宋体"/>
          <w:sz w:val="21"/>
          <w:szCs w:val="21"/>
        </w:rPr>
        <w:t>初步评审包括资格性审查和符合性审查，由评标委员会依法完成。只有对招标公告中相关资格要求作出实质性响应的投标文件才能通过初步评审。对是否实质性响应采购文件的要求有争议的投标，评标委员会将以记名方式表决，被认为响应的得票超过半数的投标人有资格进入下一阶段的评审，否则将被淘汰。</w:t>
      </w:r>
    </w:p>
    <w:p w14:paraId="6BDFE492">
      <w:pPr>
        <w:pStyle w:val="11"/>
        <w:rPr>
          <w:rFonts w:ascii="宋体" w:hAnsi="宋体" w:cs="宋体"/>
          <w:b/>
          <w:bCs/>
          <w:sz w:val="21"/>
          <w:szCs w:val="21"/>
        </w:rPr>
      </w:pPr>
      <w:bookmarkStart w:id="8" w:name="_Toc7941"/>
      <w:r>
        <w:rPr>
          <w:rFonts w:hint="eastAsia" w:ascii="宋体" w:hAnsi="宋体" w:cs="宋体"/>
          <w:b/>
          <w:bCs/>
          <w:sz w:val="21"/>
          <w:szCs w:val="21"/>
        </w:rPr>
        <w:t>三、详细评审</w:t>
      </w:r>
      <w:bookmarkEnd w:id="8"/>
    </w:p>
    <w:p w14:paraId="7925B9D8">
      <w:pPr>
        <w:snapToGrid w:val="0"/>
        <w:spacing w:line="360" w:lineRule="auto"/>
        <w:ind w:left="416" w:leftChars="208" w:firstLine="94" w:firstLineChars="45"/>
        <w:rPr>
          <w:rFonts w:ascii="宋体" w:hAnsi="宋体" w:cs="宋体"/>
          <w:sz w:val="21"/>
          <w:szCs w:val="21"/>
        </w:rPr>
      </w:pPr>
      <w:r>
        <w:rPr>
          <w:rFonts w:hint="eastAsia" w:ascii="宋体" w:hAnsi="宋体" w:cs="宋体"/>
          <w:sz w:val="21"/>
          <w:szCs w:val="21"/>
        </w:rPr>
        <w:t>详细评审是对通过初步评审的投标进行技术商务和价格的评审。</w:t>
      </w:r>
    </w:p>
    <w:p w14:paraId="10E9F78E">
      <w:pPr>
        <w:snapToGrid w:val="0"/>
        <w:spacing w:line="360" w:lineRule="auto"/>
        <w:ind w:left="325" w:hanging="325" w:hangingChars="155"/>
        <w:rPr>
          <w:rFonts w:ascii="宋体" w:hAnsi="宋体" w:cs="宋体"/>
          <w:sz w:val="21"/>
          <w:szCs w:val="21"/>
        </w:rPr>
      </w:pPr>
      <w:r>
        <w:rPr>
          <w:rFonts w:hint="eastAsia" w:ascii="宋体" w:hAnsi="宋体" w:cs="宋体"/>
          <w:sz w:val="21"/>
          <w:szCs w:val="21"/>
        </w:rPr>
        <w:t>3.1技术商务评分：评标委员会就投标人对技术响应表中各项要求等因素进行评分，各因素所占权重见《技术商务评审表》，评分统计按本评标方法4.1条规定进行。</w:t>
      </w:r>
    </w:p>
    <w:p w14:paraId="616FB868">
      <w:pPr>
        <w:snapToGrid w:val="0"/>
        <w:spacing w:line="360" w:lineRule="auto"/>
        <w:ind w:left="325" w:hanging="325" w:hangingChars="155"/>
        <w:rPr>
          <w:rFonts w:ascii="宋体" w:hAnsi="宋体" w:cs="宋体"/>
          <w:sz w:val="21"/>
          <w:szCs w:val="21"/>
        </w:rPr>
      </w:pPr>
      <w:r>
        <w:rPr>
          <w:rFonts w:hint="eastAsia" w:ascii="宋体" w:hAnsi="宋体" w:cs="宋体"/>
          <w:sz w:val="21"/>
          <w:szCs w:val="21"/>
        </w:rPr>
        <w:t>3.2价格评分：</w:t>
      </w:r>
    </w:p>
    <w:p w14:paraId="3B721E74">
      <w:pPr>
        <w:snapToGrid w:val="0"/>
        <w:spacing w:line="360" w:lineRule="auto"/>
        <w:ind w:left="325" w:hanging="325" w:hangingChars="155"/>
        <w:rPr>
          <w:rFonts w:ascii="宋体" w:hAnsi="宋体" w:cs="宋体"/>
          <w:sz w:val="21"/>
          <w:szCs w:val="21"/>
        </w:rPr>
      </w:pPr>
      <w:r>
        <w:rPr>
          <w:rFonts w:hint="eastAsia" w:ascii="宋体" w:hAnsi="宋体" w:cs="宋体"/>
          <w:sz w:val="21"/>
          <w:szCs w:val="21"/>
        </w:rPr>
        <w:t>3.2.1将评委会校核后的各投标人的投标总价定义为评标价格。取各投标人报价的最低价作为评标基准价格。各投标人的价格评分按以下公式计算：</w:t>
      </w:r>
    </w:p>
    <w:p w14:paraId="34BC9572">
      <w:pPr>
        <w:snapToGrid w:val="0"/>
        <w:spacing w:line="360" w:lineRule="auto"/>
        <w:ind w:left="325" w:hanging="325" w:hangingChars="155"/>
        <w:rPr>
          <w:rFonts w:ascii="宋体" w:hAnsi="宋体" w:cs="宋体"/>
          <w:sz w:val="21"/>
          <w:szCs w:val="21"/>
        </w:rPr>
      </w:pPr>
      <w:r>
        <w:rPr>
          <w:rFonts w:hint="eastAsia" w:ascii="宋体" w:hAnsi="宋体" w:cs="宋体"/>
          <w:sz w:val="21"/>
          <w:szCs w:val="21"/>
        </w:rPr>
        <w:t xml:space="preserve">      价格评分=（评标基准价格/评标价格）×10%×100</w:t>
      </w:r>
    </w:p>
    <w:p w14:paraId="4F124CCA">
      <w:pPr>
        <w:spacing w:line="360" w:lineRule="auto"/>
        <w:ind w:left="325" w:hanging="325"/>
        <w:rPr>
          <w:rFonts w:ascii="宋体" w:hAnsi="宋体" w:cs="宋体"/>
          <w:sz w:val="21"/>
          <w:szCs w:val="21"/>
        </w:rPr>
      </w:pPr>
      <w:r>
        <w:rPr>
          <w:rFonts w:hint="eastAsia" w:ascii="宋体" w:hAnsi="宋体" w:cs="宋体"/>
          <w:sz w:val="21"/>
          <w:szCs w:val="21"/>
        </w:rPr>
        <w:t>3.3 、评分总值最高为100分，技术、商务及价格评分分值（权重）分配：</w:t>
      </w:r>
    </w:p>
    <w:tbl>
      <w:tblPr>
        <w:tblStyle w:val="24"/>
        <w:tblW w:w="0" w:type="auto"/>
        <w:tblInd w:w="586" w:type="dxa"/>
        <w:tblLayout w:type="fixed"/>
        <w:tblCellMar>
          <w:top w:w="0" w:type="dxa"/>
          <w:left w:w="108" w:type="dxa"/>
          <w:bottom w:w="0" w:type="dxa"/>
          <w:right w:w="108" w:type="dxa"/>
        </w:tblCellMar>
      </w:tblPr>
      <w:tblGrid>
        <w:gridCol w:w="2113"/>
        <w:gridCol w:w="4406"/>
        <w:gridCol w:w="2154"/>
      </w:tblGrid>
      <w:tr w14:paraId="3601B80A">
        <w:tblPrEx>
          <w:tblCellMar>
            <w:top w:w="0" w:type="dxa"/>
            <w:left w:w="108" w:type="dxa"/>
            <w:bottom w:w="0" w:type="dxa"/>
            <w:right w:w="108" w:type="dxa"/>
          </w:tblCellMar>
        </w:tblPrEx>
        <w:trPr>
          <w:trHeight w:val="400" w:hRule="atLeast"/>
        </w:trPr>
        <w:tc>
          <w:tcPr>
            <w:tcW w:w="2113" w:type="dxa"/>
            <w:tcBorders>
              <w:top w:val="single" w:color="000000" w:sz="6" w:space="0"/>
              <w:left w:val="single" w:color="000000" w:sz="6" w:space="0"/>
              <w:bottom w:val="single" w:color="000000" w:sz="6" w:space="0"/>
              <w:right w:val="single" w:color="000000" w:sz="6" w:space="0"/>
            </w:tcBorders>
            <w:vAlign w:val="center"/>
          </w:tcPr>
          <w:p w14:paraId="01FEE9C6">
            <w:pPr>
              <w:spacing w:line="460" w:lineRule="exact"/>
              <w:jc w:val="center"/>
              <w:rPr>
                <w:rFonts w:ascii="宋体" w:hAnsi="宋体" w:cs="宋体"/>
                <w:sz w:val="21"/>
                <w:szCs w:val="21"/>
              </w:rPr>
            </w:pPr>
            <w:r>
              <w:rPr>
                <w:rFonts w:hint="eastAsia" w:ascii="宋体" w:hAnsi="宋体" w:cs="宋体"/>
                <w:sz w:val="21"/>
                <w:szCs w:val="21"/>
              </w:rPr>
              <w:t>评分项目</w:t>
            </w:r>
          </w:p>
        </w:tc>
        <w:tc>
          <w:tcPr>
            <w:tcW w:w="4406" w:type="dxa"/>
            <w:tcBorders>
              <w:top w:val="single" w:color="000000" w:sz="6" w:space="0"/>
              <w:left w:val="single" w:color="000000" w:sz="6" w:space="0"/>
              <w:bottom w:val="single" w:color="000000" w:sz="6" w:space="0"/>
              <w:right w:val="single" w:color="000000" w:sz="6" w:space="0"/>
            </w:tcBorders>
            <w:vAlign w:val="center"/>
          </w:tcPr>
          <w:p w14:paraId="7A084E81">
            <w:pPr>
              <w:spacing w:line="460" w:lineRule="exact"/>
              <w:jc w:val="center"/>
              <w:rPr>
                <w:rFonts w:ascii="宋体" w:hAnsi="宋体" w:cs="宋体"/>
                <w:sz w:val="21"/>
                <w:szCs w:val="21"/>
              </w:rPr>
            </w:pPr>
            <w:r>
              <w:rPr>
                <w:rFonts w:hint="eastAsia" w:ascii="宋体" w:hAnsi="宋体" w:cs="宋体"/>
                <w:sz w:val="21"/>
                <w:szCs w:val="21"/>
              </w:rPr>
              <w:t>技术商务评分</w:t>
            </w:r>
          </w:p>
        </w:tc>
        <w:tc>
          <w:tcPr>
            <w:tcW w:w="2154" w:type="dxa"/>
            <w:tcBorders>
              <w:top w:val="single" w:color="000000" w:sz="6" w:space="0"/>
              <w:left w:val="single" w:color="000000" w:sz="6" w:space="0"/>
              <w:bottom w:val="single" w:color="000000" w:sz="6" w:space="0"/>
              <w:right w:val="single" w:color="000000" w:sz="6" w:space="0"/>
            </w:tcBorders>
            <w:vAlign w:val="center"/>
          </w:tcPr>
          <w:p w14:paraId="1B1B1388">
            <w:pPr>
              <w:spacing w:line="460" w:lineRule="exact"/>
              <w:jc w:val="center"/>
              <w:rPr>
                <w:rFonts w:ascii="宋体" w:hAnsi="宋体" w:cs="宋体"/>
                <w:sz w:val="21"/>
                <w:szCs w:val="21"/>
              </w:rPr>
            </w:pPr>
            <w:r>
              <w:rPr>
                <w:rFonts w:hint="eastAsia" w:ascii="宋体" w:hAnsi="宋体" w:cs="宋体"/>
                <w:sz w:val="21"/>
                <w:szCs w:val="21"/>
              </w:rPr>
              <w:t>价格评分</w:t>
            </w:r>
          </w:p>
        </w:tc>
      </w:tr>
      <w:tr w14:paraId="001AE30C">
        <w:tblPrEx>
          <w:tblCellMar>
            <w:top w:w="0" w:type="dxa"/>
            <w:left w:w="108" w:type="dxa"/>
            <w:bottom w:w="0" w:type="dxa"/>
            <w:right w:w="108" w:type="dxa"/>
          </w:tblCellMar>
        </w:tblPrEx>
        <w:trPr>
          <w:trHeight w:val="400" w:hRule="atLeast"/>
        </w:trPr>
        <w:tc>
          <w:tcPr>
            <w:tcW w:w="2113" w:type="dxa"/>
            <w:tcBorders>
              <w:top w:val="single" w:color="000000" w:sz="6" w:space="0"/>
              <w:left w:val="single" w:color="000000" w:sz="6" w:space="0"/>
              <w:bottom w:val="single" w:color="000000" w:sz="6" w:space="0"/>
              <w:right w:val="single" w:color="000000" w:sz="6" w:space="0"/>
            </w:tcBorders>
            <w:vAlign w:val="center"/>
          </w:tcPr>
          <w:p w14:paraId="5AB88B2E">
            <w:pPr>
              <w:spacing w:line="460" w:lineRule="exact"/>
              <w:jc w:val="center"/>
              <w:rPr>
                <w:rFonts w:ascii="宋体" w:hAnsi="宋体" w:cs="宋体"/>
                <w:sz w:val="21"/>
                <w:szCs w:val="21"/>
              </w:rPr>
            </w:pPr>
            <w:r>
              <w:rPr>
                <w:rFonts w:hint="eastAsia" w:ascii="宋体" w:hAnsi="宋体" w:cs="宋体"/>
                <w:sz w:val="21"/>
                <w:szCs w:val="21"/>
              </w:rPr>
              <w:t>权重</w:t>
            </w:r>
            <w:r>
              <w:rPr>
                <w:rFonts w:hint="eastAsia" w:ascii="宋体" w:hAnsi="宋体" w:cs="宋体"/>
                <w:i/>
                <w:sz w:val="21"/>
                <w:szCs w:val="21"/>
              </w:rPr>
              <w:t>（</w:t>
            </w:r>
            <w:r>
              <w:rPr>
                <w:rFonts w:hint="eastAsia" w:ascii="宋体" w:hAnsi="宋体" w:cs="宋体"/>
                <w:iCs/>
                <w:sz w:val="21"/>
                <w:szCs w:val="21"/>
              </w:rPr>
              <w:t>总和为100%）</w:t>
            </w:r>
          </w:p>
        </w:tc>
        <w:tc>
          <w:tcPr>
            <w:tcW w:w="4406" w:type="dxa"/>
            <w:tcBorders>
              <w:top w:val="single" w:color="000000" w:sz="6" w:space="0"/>
              <w:left w:val="single" w:color="000000" w:sz="6" w:space="0"/>
              <w:bottom w:val="single" w:color="000000" w:sz="6" w:space="0"/>
              <w:right w:val="single" w:color="000000" w:sz="6" w:space="0"/>
            </w:tcBorders>
            <w:vAlign w:val="center"/>
          </w:tcPr>
          <w:p w14:paraId="31C61F58">
            <w:pPr>
              <w:spacing w:line="460" w:lineRule="exact"/>
              <w:jc w:val="center"/>
              <w:rPr>
                <w:rFonts w:ascii="宋体" w:hAnsi="宋体" w:cs="宋体"/>
                <w:sz w:val="21"/>
                <w:szCs w:val="21"/>
              </w:rPr>
            </w:pPr>
            <w:r>
              <w:rPr>
                <w:rFonts w:hint="eastAsia" w:ascii="宋体" w:hAnsi="宋体" w:cs="宋体"/>
                <w:sz w:val="21"/>
                <w:szCs w:val="21"/>
              </w:rPr>
              <w:t>A</w:t>
            </w:r>
            <w:r>
              <w:rPr>
                <w:rFonts w:hint="eastAsia" w:ascii="宋体" w:hAnsi="宋体" w:cs="宋体"/>
                <w:b/>
                <w:sz w:val="21"/>
                <w:szCs w:val="21"/>
              </w:rPr>
              <w:t>1（90</w:t>
            </w:r>
            <w:r>
              <w:rPr>
                <w:rFonts w:hint="eastAsia" w:ascii="宋体" w:hAnsi="宋体" w:cs="宋体"/>
                <w:sz w:val="21"/>
                <w:szCs w:val="21"/>
              </w:rPr>
              <w:t>%）</w:t>
            </w:r>
          </w:p>
        </w:tc>
        <w:tc>
          <w:tcPr>
            <w:tcW w:w="2154" w:type="dxa"/>
            <w:tcBorders>
              <w:top w:val="single" w:color="000000" w:sz="6" w:space="0"/>
              <w:left w:val="single" w:color="000000" w:sz="6" w:space="0"/>
              <w:bottom w:val="single" w:color="000000" w:sz="6" w:space="0"/>
              <w:right w:val="single" w:color="000000" w:sz="6" w:space="0"/>
            </w:tcBorders>
            <w:vAlign w:val="center"/>
          </w:tcPr>
          <w:p w14:paraId="22175E68">
            <w:pPr>
              <w:spacing w:line="460" w:lineRule="exact"/>
              <w:jc w:val="center"/>
              <w:rPr>
                <w:rFonts w:ascii="宋体" w:hAnsi="宋体" w:cs="宋体"/>
                <w:i/>
                <w:sz w:val="21"/>
                <w:szCs w:val="21"/>
              </w:rPr>
            </w:pPr>
            <w:r>
              <w:rPr>
                <w:rFonts w:hint="eastAsia" w:ascii="宋体" w:hAnsi="宋体" w:cs="宋体"/>
                <w:sz w:val="21"/>
                <w:szCs w:val="21"/>
              </w:rPr>
              <w:t>A</w:t>
            </w:r>
            <w:r>
              <w:rPr>
                <w:rFonts w:hint="eastAsia" w:ascii="宋体" w:hAnsi="宋体" w:cs="宋体"/>
                <w:b/>
                <w:sz w:val="21"/>
                <w:szCs w:val="21"/>
              </w:rPr>
              <w:t>2</w:t>
            </w:r>
            <w:r>
              <w:rPr>
                <w:rFonts w:hint="eastAsia" w:ascii="宋体" w:hAnsi="宋体" w:cs="宋体"/>
                <w:sz w:val="21"/>
                <w:szCs w:val="21"/>
              </w:rPr>
              <w:t>(10%)</w:t>
            </w:r>
          </w:p>
        </w:tc>
      </w:tr>
    </w:tbl>
    <w:p w14:paraId="667E6767">
      <w:pPr>
        <w:spacing w:line="360" w:lineRule="auto"/>
        <w:ind w:left="420" w:firstLine="420"/>
        <w:rPr>
          <w:rFonts w:ascii="宋体" w:hAnsi="宋体" w:cs="宋体"/>
          <w:sz w:val="21"/>
          <w:szCs w:val="21"/>
        </w:rPr>
      </w:pPr>
      <w:r>
        <w:rPr>
          <w:rFonts w:hint="eastAsia" w:ascii="宋体" w:hAnsi="宋体" w:cs="宋体"/>
          <w:sz w:val="21"/>
          <w:szCs w:val="21"/>
        </w:rPr>
        <w:t>根据上述技术商务及价格的综合评分及其权重分配，代入下列公式计算各投标人的总得分。进入详细评审的各投标人的综合得分，按得分从高到低排名（得分相同时，投标总价低者优先）。</w:t>
      </w:r>
    </w:p>
    <w:p w14:paraId="5C3FFB49">
      <w:pPr>
        <w:spacing w:line="360" w:lineRule="auto"/>
        <w:ind w:left="420" w:firstLine="420"/>
        <w:rPr>
          <w:rFonts w:ascii="宋体" w:hAnsi="宋体" w:cs="宋体"/>
          <w:sz w:val="21"/>
          <w:szCs w:val="21"/>
        </w:rPr>
      </w:pPr>
      <w:r>
        <w:rPr>
          <w:rFonts w:hint="eastAsia" w:ascii="宋体" w:hAnsi="宋体" w:cs="宋体"/>
          <w:sz w:val="21"/>
          <w:szCs w:val="21"/>
        </w:rPr>
        <w:t>评标总得分= F1×A1＋F2×A2</w:t>
      </w:r>
    </w:p>
    <w:p w14:paraId="03E28A38">
      <w:pPr>
        <w:snapToGrid w:val="0"/>
        <w:spacing w:line="360" w:lineRule="auto"/>
        <w:ind w:left="325" w:hanging="325" w:hangingChars="155"/>
        <w:rPr>
          <w:rFonts w:ascii="宋体" w:hAnsi="宋体" w:cs="宋体"/>
          <w:b/>
          <w:bCs/>
          <w:sz w:val="21"/>
          <w:szCs w:val="21"/>
        </w:rPr>
      </w:pPr>
      <w:r>
        <w:rPr>
          <w:rFonts w:hint="eastAsia" w:ascii="宋体" w:hAnsi="宋体" w:cs="宋体"/>
          <w:sz w:val="21"/>
          <w:szCs w:val="21"/>
        </w:rPr>
        <w:t>其中，F1、F2分别为技术商务及价格评分的汇总得分；A1、A2分别为技术商务及价格评分所占权重值（A1＋A2=1）。</w:t>
      </w:r>
      <w:bookmarkStart w:id="9" w:name="_Toc13863"/>
    </w:p>
    <w:p w14:paraId="225FDB63">
      <w:pPr>
        <w:pStyle w:val="11"/>
        <w:rPr>
          <w:rFonts w:ascii="宋体" w:hAnsi="宋体" w:cs="宋体"/>
          <w:b/>
          <w:bCs/>
          <w:sz w:val="21"/>
          <w:szCs w:val="21"/>
        </w:rPr>
      </w:pPr>
      <w:r>
        <w:rPr>
          <w:rFonts w:hint="eastAsia" w:ascii="宋体" w:hAnsi="宋体" w:cs="宋体"/>
          <w:b/>
          <w:bCs/>
          <w:sz w:val="21"/>
          <w:szCs w:val="21"/>
        </w:rPr>
        <w:t>四、中标候选人</w:t>
      </w:r>
      <w:bookmarkEnd w:id="9"/>
    </w:p>
    <w:p w14:paraId="1E7ADFB5">
      <w:pPr>
        <w:snapToGrid w:val="0"/>
        <w:spacing w:line="360" w:lineRule="auto"/>
        <w:ind w:firstLine="420" w:firstLineChars="200"/>
        <w:rPr>
          <w:rFonts w:ascii="宋体" w:hAnsi="宋体" w:cs="宋体"/>
          <w:sz w:val="21"/>
          <w:szCs w:val="21"/>
        </w:rPr>
      </w:pPr>
      <w:r>
        <w:rPr>
          <w:rFonts w:hint="eastAsia" w:ascii="宋体" w:hAnsi="宋体" w:cs="宋体"/>
          <w:sz w:val="21"/>
          <w:szCs w:val="21"/>
        </w:rPr>
        <w:t>评标委员会将出具评标报告，并排序推荐3位中标候选人。</w:t>
      </w:r>
    </w:p>
    <w:p w14:paraId="223D7D5F">
      <w:pPr>
        <w:snapToGrid w:val="0"/>
        <w:spacing w:line="360" w:lineRule="auto"/>
        <w:ind w:left="325" w:hanging="325" w:hangingChars="155"/>
        <w:rPr>
          <w:rFonts w:ascii="宋体" w:hAnsi="宋体" w:cs="宋体"/>
          <w:sz w:val="21"/>
          <w:szCs w:val="21"/>
        </w:rPr>
      </w:pPr>
      <w:r>
        <w:rPr>
          <w:rFonts w:hint="eastAsia" w:ascii="宋体" w:hAnsi="宋体" w:cs="宋体"/>
          <w:sz w:val="21"/>
          <w:szCs w:val="21"/>
        </w:rPr>
        <w:t>4.1</w:t>
      </w:r>
      <w:r>
        <w:rPr>
          <w:rFonts w:hint="eastAsia" w:ascii="宋体" w:hAnsi="宋体" w:cs="宋体"/>
          <w:sz w:val="21"/>
          <w:szCs w:val="21"/>
        </w:rPr>
        <w:tab/>
      </w:r>
      <w:r>
        <w:rPr>
          <w:rFonts w:hint="eastAsia" w:ascii="宋体" w:hAnsi="宋体" w:cs="宋体"/>
          <w:sz w:val="21"/>
          <w:szCs w:val="21"/>
        </w:rPr>
        <w:t>推荐中标候选投标人名单：本项目推荐3名中标候选人。将各有效投标人按其评标总得分由高到低顺序排列。评标总得分相同的，按下列顺序比较确定：（1）投标报价（由低到高）；（2）技术商务评分（由高到低）。如以上都相同的，名次由评标委员会抽签确定。排名第一的投标人为第一中标候选人，排名第二的投标人为第二中标候选人，排名第三的投标人为第三中标候选人。</w:t>
      </w:r>
    </w:p>
    <w:p w14:paraId="7DC47C44">
      <w:pPr>
        <w:snapToGrid w:val="0"/>
        <w:spacing w:line="360" w:lineRule="auto"/>
        <w:ind w:left="325" w:hanging="325" w:hangingChars="155"/>
        <w:rPr>
          <w:rFonts w:ascii="宋体" w:hAnsi="宋体" w:cs="宋体"/>
          <w:sz w:val="21"/>
          <w:szCs w:val="21"/>
        </w:rPr>
      </w:pPr>
      <w:r>
        <w:rPr>
          <w:rFonts w:hint="eastAsia" w:ascii="宋体" w:hAnsi="宋体" w:cs="宋体"/>
          <w:sz w:val="21"/>
          <w:szCs w:val="21"/>
        </w:rPr>
        <w:t>4.2</w:t>
      </w:r>
      <w:r>
        <w:rPr>
          <w:rFonts w:hint="eastAsia" w:ascii="宋体" w:hAnsi="宋体" w:cs="宋体"/>
          <w:sz w:val="21"/>
          <w:szCs w:val="21"/>
        </w:rPr>
        <w:tab/>
      </w:r>
      <w:r>
        <w:rPr>
          <w:rFonts w:hint="eastAsia" w:ascii="宋体" w:hAnsi="宋体" w:cs="宋体"/>
          <w:sz w:val="21"/>
          <w:szCs w:val="21"/>
        </w:rPr>
        <w:t>中标价的确定：中标价以开标时公开唱读额为准；如有缺项、漏项，视为已包含在中标价中。</w:t>
      </w:r>
    </w:p>
    <w:p w14:paraId="142BF542">
      <w:pPr>
        <w:snapToGrid w:val="0"/>
        <w:spacing w:line="360" w:lineRule="auto"/>
        <w:ind w:left="325" w:hanging="325" w:hangingChars="155"/>
        <w:sectPr>
          <w:headerReference r:id="rId4" w:type="first"/>
          <w:headerReference r:id="rId3" w:type="default"/>
          <w:footerReference r:id="rId5" w:type="default"/>
          <w:pgSz w:w="11910" w:h="16840"/>
          <w:pgMar w:top="1360" w:right="700" w:bottom="1140" w:left="760" w:header="805" w:footer="956" w:gutter="0"/>
          <w:cols w:space="720" w:num="1"/>
        </w:sectPr>
      </w:pPr>
      <w:r>
        <w:rPr>
          <w:rFonts w:hint="eastAsia" w:ascii="宋体" w:hAnsi="宋体" w:cs="宋体"/>
          <w:sz w:val="21"/>
          <w:szCs w:val="21"/>
        </w:rPr>
        <w:t>4.3</w:t>
      </w:r>
      <w:r>
        <w:rPr>
          <w:rFonts w:hint="eastAsia" w:ascii="宋体" w:hAnsi="宋体" w:cs="宋体"/>
          <w:sz w:val="21"/>
          <w:szCs w:val="21"/>
        </w:rPr>
        <w:tab/>
      </w:r>
      <w:r>
        <w:rPr>
          <w:rFonts w:hint="eastAsia" w:ascii="宋体" w:hAnsi="宋体" w:cs="宋体"/>
          <w:sz w:val="21"/>
          <w:szCs w:val="21"/>
        </w:rPr>
        <w:t>根据评标委员会的评标结果，采购人依法确定1名中标人，也可以事先授权评标委员会直接确定中标人</w:t>
      </w:r>
      <w:bookmarkEnd w:id="0"/>
      <w:bookmarkEnd w:id="1"/>
      <w:bookmarkEnd w:id="2"/>
      <w:bookmarkEnd w:id="3"/>
      <w:bookmarkEnd w:id="4"/>
      <w:bookmarkEnd w:id="5"/>
      <w:bookmarkStart w:id="10" w:name="_Toc24985"/>
      <w:bookmarkStart w:id="11" w:name="_Toc510095287"/>
      <w:bookmarkStart w:id="12" w:name="_Toc13898"/>
      <w:bookmarkStart w:id="13" w:name="_Toc6435"/>
      <w:bookmarkStart w:id="14" w:name="_Toc2289"/>
      <w:r>
        <w:rPr>
          <w:rFonts w:hint="eastAsia" w:ascii="宋体" w:hAnsi="宋体" w:cs="宋体"/>
          <w:sz w:val="21"/>
          <w:szCs w:val="21"/>
        </w:rPr>
        <w:t>。</w:t>
      </w:r>
    </w:p>
    <w:bookmarkEnd w:id="10"/>
    <w:bookmarkEnd w:id="11"/>
    <w:bookmarkEnd w:id="12"/>
    <w:bookmarkEnd w:id="13"/>
    <w:bookmarkEnd w:id="14"/>
    <w:p w14:paraId="22996FAA">
      <w:pPr>
        <w:tabs>
          <w:tab w:val="left" w:pos="885"/>
        </w:tabs>
      </w:pPr>
    </w:p>
    <w:sectPr>
      <w:headerReference r:id="rId6" w:type="default"/>
      <w:footerReference r:id="rId7" w:type="default"/>
      <w:pgSz w:w="11906" w:h="16838"/>
      <w:pgMar w:top="1440" w:right="1080" w:bottom="1440" w:left="1080" w:header="851" w:footer="725"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隶书_GB2312">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35E9">
    <w:pPr>
      <w:pStyle w:val="17"/>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FC10C0">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AmcEZ/fAQAAvQMAAA4A&#10;AAAAAAAAAQAgAAAAIgEAAGRycy9lMm9Eb2MueG1sUEsFBgAAAAAGAAYAWQEAAHMFAAAAAA==&#10;">
              <v:fill on="f" focussize="0,0"/>
              <v:stroke on="f" weight="1.25pt"/>
              <v:imagedata o:title=""/>
              <o:lock v:ext="edit" aspectratio="f"/>
              <v:textbox inset="0mm,0mm,0mm,0mm" style="mso-fit-shape-to-text:t;">
                <w:txbxContent>
                  <w:p w14:paraId="74FC10C0">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14:paraId="53635CCF">
    <w:pPr>
      <w:pStyle w:val="17"/>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ADC5">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983CF0">
                          <w:pPr>
                            <w:pStyle w:val="17"/>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CdgLtcBAAC0AwAADgAAAGRycy9lMm9Eb2MueG1srVNBrtMwEN0jcQfL&#10;e5q0SK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MNbcKSMycsTfzy/dvlx6/Lz69s&#10;+Tw1qPdYUd6dp8w4vIKBkmc/kjPpHtpg058UMYpTe8/X9qohMpkurVfrdUkhSbH5QPjF/XUfML5R&#10;YFkyah5ofrmt4vQO45g6p6RqDm61MXmGxv3lIMzkKRL3kWOy4rAfJkF7aM6khx4C1ekgfOGspzWo&#10;uaOt58y8ddTltDGzEWZjPxvCSbpY88jZaL6OebMSEfQvj5HYZdKp9FhvYkTDzLKnxUvb8uc5Z90/&#10;tu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gnYC7XAQAAtAMAAA4AAAAAAAAAAQAgAAAA&#10;HgEAAGRycy9lMm9Eb2MueG1sUEsFBgAAAAAGAAYAWQEAAGcFAAAAAA==&#10;">
              <v:fill on="f" focussize="0,0"/>
              <v:stroke on="f"/>
              <v:imagedata o:title=""/>
              <o:lock v:ext="edit" aspectratio="f"/>
              <v:textbox inset="0mm,0mm,0mm,0mm" style="mso-fit-shape-to-text:t;">
                <w:txbxContent>
                  <w:p w14:paraId="0A983CF0">
                    <w:pPr>
                      <w:pStyle w:val="17"/>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6E2D">
    <w:pPr>
      <w:pStyle w:val="45"/>
      <w:spacing w:after="120"/>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00D1">
    <w:pPr>
      <w:pStyle w:val="1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D913">
    <w:pPr>
      <w:pStyle w:val="18"/>
      <w:jc w:val="right"/>
      <w:rPr>
        <w:rFonts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476E7"/>
    <w:multiLevelType w:val="singleLevel"/>
    <w:tmpl w:val="251476E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wNmVjNmFhMmRhMDYzYjUyMjc2ZmQzNzk0NWRlMDcifQ=="/>
  </w:docVars>
  <w:rsids>
    <w:rsidRoot w:val="6B2B72E2"/>
    <w:rsid w:val="001303DA"/>
    <w:rsid w:val="001E2698"/>
    <w:rsid w:val="002375B8"/>
    <w:rsid w:val="002E44B4"/>
    <w:rsid w:val="00345745"/>
    <w:rsid w:val="00372795"/>
    <w:rsid w:val="003F453B"/>
    <w:rsid w:val="00421B6E"/>
    <w:rsid w:val="004B5B72"/>
    <w:rsid w:val="00543EB4"/>
    <w:rsid w:val="005A7AB3"/>
    <w:rsid w:val="005D275B"/>
    <w:rsid w:val="00614BFE"/>
    <w:rsid w:val="00904139"/>
    <w:rsid w:val="00A72C09"/>
    <w:rsid w:val="00AE7D60"/>
    <w:rsid w:val="00C22F8A"/>
    <w:rsid w:val="00DB5D4C"/>
    <w:rsid w:val="00E12BCC"/>
    <w:rsid w:val="00EB13FE"/>
    <w:rsid w:val="00EB48A6"/>
    <w:rsid w:val="00FD68F6"/>
    <w:rsid w:val="013232E7"/>
    <w:rsid w:val="014452FC"/>
    <w:rsid w:val="017E3577"/>
    <w:rsid w:val="01900734"/>
    <w:rsid w:val="020D767A"/>
    <w:rsid w:val="023C3D51"/>
    <w:rsid w:val="02BF09B6"/>
    <w:rsid w:val="030A663A"/>
    <w:rsid w:val="03813DD1"/>
    <w:rsid w:val="03A679AC"/>
    <w:rsid w:val="03B15B8B"/>
    <w:rsid w:val="03E272F9"/>
    <w:rsid w:val="04196AFD"/>
    <w:rsid w:val="0439157B"/>
    <w:rsid w:val="043A64EA"/>
    <w:rsid w:val="0544081D"/>
    <w:rsid w:val="054F6DBC"/>
    <w:rsid w:val="055007B1"/>
    <w:rsid w:val="0592069A"/>
    <w:rsid w:val="0613788C"/>
    <w:rsid w:val="065E6CE1"/>
    <w:rsid w:val="06765EB3"/>
    <w:rsid w:val="069B30AC"/>
    <w:rsid w:val="06B34F7C"/>
    <w:rsid w:val="07165C48"/>
    <w:rsid w:val="074C379A"/>
    <w:rsid w:val="074F0E84"/>
    <w:rsid w:val="075662C4"/>
    <w:rsid w:val="07D31812"/>
    <w:rsid w:val="0A65203E"/>
    <w:rsid w:val="0AF10ADC"/>
    <w:rsid w:val="0B1D6B02"/>
    <w:rsid w:val="0B894B7C"/>
    <w:rsid w:val="0B9D552E"/>
    <w:rsid w:val="0C282DF6"/>
    <w:rsid w:val="0C426C2A"/>
    <w:rsid w:val="0C5C3B4F"/>
    <w:rsid w:val="0C612067"/>
    <w:rsid w:val="0C732F19"/>
    <w:rsid w:val="0CCE68C7"/>
    <w:rsid w:val="0D33665D"/>
    <w:rsid w:val="0D7B3E57"/>
    <w:rsid w:val="0E834147"/>
    <w:rsid w:val="0EE60D12"/>
    <w:rsid w:val="0F29567B"/>
    <w:rsid w:val="0F39099F"/>
    <w:rsid w:val="0F8751E2"/>
    <w:rsid w:val="0FDC3EFE"/>
    <w:rsid w:val="0FDE2D36"/>
    <w:rsid w:val="0FE444A1"/>
    <w:rsid w:val="1012011B"/>
    <w:rsid w:val="10211A4E"/>
    <w:rsid w:val="10BF1C27"/>
    <w:rsid w:val="10C53120"/>
    <w:rsid w:val="10DA4ACC"/>
    <w:rsid w:val="11350C5A"/>
    <w:rsid w:val="114A45B4"/>
    <w:rsid w:val="11AB7262"/>
    <w:rsid w:val="12080094"/>
    <w:rsid w:val="12084423"/>
    <w:rsid w:val="12BB52E2"/>
    <w:rsid w:val="12C05D28"/>
    <w:rsid w:val="133B0818"/>
    <w:rsid w:val="13983222"/>
    <w:rsid w:val="13BF4322"/>
    <w:rsid w:val="13C058F7"/>
    <w:rsid w:val="14312E7A"/>
    <w:rsid w:val="145E0BF9"/>
    <w:rsid w:val="146034BD"/>
    <w:rsid w:val="146C1102"/>
    <w:rsid w:val="148F5109"/>
    <w:rsid w:val="15535E8C"/>
    <w:rsid w:val="15847D5E"/>
    <w:rsid w:val="16315EBE"/>
    <w:rsid w:val="16464662"/>
    <w:rsid w:val="16816E45"/>
    <w:rsid w:val="1699502F"/>
    <w:rsid w:val="169E0278"/>
    <w:rsid w:val="16BA2152"/>
    <w:rsid w:val="16C14D4E"/>
    <w:rsid w:val="16F06F62"/>
    <w:rsid w:val="1710708D"/>
    <w:rsid w:val="171F0699"/>
    <w:rsid w:val="174C3A48"/>
    <w:rsid w:val="17BD2864"/>
    <w:rsid w:val="17F45BD7"/>
    <w:rsid w:val="19622F8F"/>
    <w:rsid w:val="19866910"/>
    <w:rsid w:val="19A854BE"/>
    <w:rsid w:val="1A773268"/>
    <w:rsid w:val="1A787A93"/>
    <w:rsid w:val="1B313D37"/>
    <w:rsid w:val="1B4B515D"/>
    <w:rsid w:val="1B7E4FF8"/>
    <w:rsid w:val="1B826E6D"/>
    <w:rsid w:val="1BD74FEA"/>
    <w:rsid w:val="1D7B74A7"/>
    <w:rsid w:val="1DC33547"/>
    <w:rsid w:val="1DF80D72"/>
    <w:rsid w:val="1DF90EFB"/>
    <w:rsid w:val="1E015DD5"/>
    <w:rsid w:val="1E535EBD"/>
    <w:rsid w:val="1E5C7BFF"/>
    <w:rsid w:val="1E75300F"/>
    <w:rsid w:val="1E8D7F78"/>
    <w:rsid w:val="1F1A1F81"/>
    <w:rsid w:val="1F6630D3"/>
    <w:rsid w:val="1FA45C2E"/>
    <w:rsid w:val="202B0C53"/>
    <w:rsid w:val="2045636B"/>
    <w:rsid w:val="205A5A5C"/>
    <w:rsid w:val="209356CF"/>
    <w:rsid w:val="20B02017"/>
    <w:rsid w:val="20D2545E"/>
    <w:rsid w:val="20F32CD8"/>
    <w:rsid w:val="21713824"/>
    <w:rsid w:val="21FC17A3"/>
    <w:rsid w:val="227D2335"/>
    <w:rsid w:val="22D14BAC"/>
    <w:rsid w:val="22F34C27"/>
    <w:rsid w:val="23256477"/>
    <w:rsid w:val="237300E3"/>
    <w:rsid w:val="23BD037B"/>
    <w:rsid w:val="24FC7848"/>
    <w:rsid w:val="252A5A2A"/>
    <w:rsid w:val="261538B2"/>
    <w:rsid w:val="26612246"/>
    <w:rsid w:val="27143F1F"/>
    <w:rsid w:val="27A867EA"/>
    <w:rsid w:val="28001352"/>
    <w:rsid w:val="287B1CF7"/>
    <w:rsid w:val="289318E3"/>
    <w:rsid w:val="29021751"/>
    <w:rsid w:val="29540BAA"/>
    <w:rsid w:val="29853D3D"/>
    <w:rsid w:val="29AF4BA8"/>
    <w:rsid w:val="2A5B1C53"/>
    <w:rsid w:val="2A694A5D"/>
    <w:rsid w:val="2ABF2C50"/>
    <w:rsid w:val="2ADE287C"/>
    <w:rsid w:val="2B4B210B"/>
    <w:rsid w:val="2B617EA2"/>
    <w:rsid w:val="2BCF261E"/>
    <w:rsid w:val="2C0666DB"/>
    <w:rsid w:val="2C4F0286"/>
    <w:rsid w:val="2CD4199C"/>
    <w:rsid w:val="2D4D47F6"/>
    <w:rsid w:val="2D5F4CE6"/>
    <w:rsid w:val="2E236D81"/>
    <w:rsid w:val="2E4838F8"/>
    <w:rsid w:val="2F1471A4"/>
    <w:rsid w:val="2F16204E"/>
    <w:rsid w:val="2F3A5F5C"/>
    <w:rsid w:val="2F4C78CB"/>
    <w:rsid w:val="2FD50E31"/>
    <w:rsid w:val="30087F6F"/>
    <w:rsid w:val="300C2EFD"/>
    <w:rsid w:val="307153A8"/>
    <w:rsid w:val="30793A9F"/>
    <w:rsid w:val="30874004"/>
    <w:rsid w:val="312733A5"/>
    <w:rsid w:val="31352F33"/>
    <w:rsid w:val="31506972"/>
    <w:rsid w:val="31F47F72"/>
    <w:rsid w:val="32BF4F96"/>
    <w:rsid w:val="32E24F89"/>
    <w:rsid w:val="33027FD0"/>
    <w:rsid w:val="336F3D95"/>
    <w:rsid w:val="33C80848"/>
    <w:rsid w:val="33EF31A0"/>
    <w:rsid w:val="33FF585B"/>
    <w:rsid w:val="340019BE"/>
    <w:rsid w:val="341109C2"/>
    <w:rsid w:val="342A6883"/>
    <w:rsid w:val="3451337D"/>
    <w:rsid w:val="3472782F"/>
    <w:rsid w:val="353039EA"/>
    <w:rsid w:val="353431A9"/>
    <w:rsid w:val="353C6737"/>
    <w:rsid w:val="3570195B"/>
    <w:rsid w:val="359D0DFF"/>
    <w:rsid w:val="3694187F"/>
    <w:rsid w:val="36B94D15"/>
    <w:rsid w:val="36E30A15"/>
    <w:rsid w:val="37087410"/>
    <w:rsid w:val="37452E14"/>
    <w:rsid w:val="375D5D8B"/>
    <w:rsid w:val="375F3004"/>
    <w:rsid w:val="376577DB"/>
    <w:rsid w:val="37D71178"/>
    <w:rsid w:val="384636E0"/>
    <w:rsid w:val="38894ECB"/>
    <w:rsid w:val="38CA6739"/>
    <w:rsid w:val="38D240E4"/>
    <w:rsid w:val="38F7107A"/>
    <w:rsid w:val="39166502"/>
    <w:rsid w:val="39715FCC"/>
    <w:rsid w:val="397A2FE8"/>
    <w:rsid w:val="399A641C"/>
    <w:rsid w:val="39E4419C"/>
    <w:rsid w:val="3A417CC1"/>
    <w:rsid w:val="3ABD03A7"/>
    <w:rsid w:val="3B552BE1"/>
    <w:rsid w:val="3B6B359F"/>
    <w:rsid w:val="3B6C5FAF"/>
    <w:rsid w:val="3BA76C1E"/>
    <w:rsid w:val="3BAF7344"/>
    <w:rsid w:val="3BF53FCF"/>
    <w:rsid w:val="3BF85FB5"/>
    <w:rsid w:val="3C192B37"/>
    <w:rsid w:val="3CAE3A13"/>
    <w:rsid w:val="3CD460FD"/>
    <w:rsid w:val="3CDA0B7F"/>
    <w:rsid w:val="3CF72833"/>
    <w:rsid w:val="3D2C6F62"/>
    <w:rsid w:val="3DAD0B0A"/>
    <w:rsid w:val="3E3E2E55"/>
    <w:rsid w:val="3E750B6A"/>
    <w:rsid w:val="3EE3661A"/>
    <w:rsid w:val="3FD17830"/>
    <w:rsid w:val="3FDE5546"/>
    <w:rsid w:val="402F7579"/>
    <w:rsid w:val="4037219F"/>
    <w:rsid w:val="40F8493C"/>
    <w:rsid w:val="41046039"/>
    <w:rsid w:val="41146E57"/>
    <w:rsid w:val="41200A90"/>
    <w:rsid w:val="416B7C26"/>
    <w:rsid w:val="417B3190"/>
    <w:rsid w:val="418E4B95"/>
    <w:rsid w:val="42402E61"/>
    <w:rsid w:val="42625A9B"/>
    <w:rsid w:val="432C1723"/>
    <w:rsid w:val="434C6237"/>
    <w:rsid w:val="43597900"/>
    <w:rsid w:val="440B0347"/>
    <w:rsid w:val="444F55DD"/>
    <w:rsid w:val="449D465F"/>
    <w:rsid w:val="44CA548E"/>
    <w:rsid w:val="44F931AE"/>
    <w:rsid w:val="454F4472"/>
    <w:rsid w:val="458364C9"/>
    <w:rsid w:val="458A0FC3"/>
    <w:rsid w:val="45D63E1B"/>
    <w:rsid w:val="460553CD"/>
    <w:rsid w:val="465B5E14"/>
    <w:rsid w:val="465F3BE0"/>
    <w:rsid w:val="46975632"/>
    <w:rsid w:val="469C382F"/>
    <w:rsid w:val="46BA6C8F"/>
    <w:rsid w:val="46DE29D5"/>
    <w:rsid w:val="47213261"/>
    <w:rsid w:val="47594A22"/>
    <w:rsid w:val="47863F6F"/>
    <w:rsid w:val="47BC3073"/>
    <w:rsid w:val="485004E4"/>
    <w:rsid w:val="487116BA"/>
    <w:rsid w:val="48A3175C"/>
    <w:rsid w:val="48C279E3"/>
    <w:rsid w:val="48D71E5B"/>
    <w:rsid w:val="48DC21C2"/>
    <w:rsid w:val="48E51B48"/>
    <w:rsid w:val="4910178D"/>
    <w:rsid w:val="4B4D5C43"/>
    <w:rsid w:val="4BA16C36"/>
    <w:rsid w:val="4BDB0819"/>
    <w:rsid w:val="4BFF2887"/>
    <w:rsid w:val="4C0F411B"/>
    <w:rsid w:val="4C236ED1"/>
    <w:rsid w:val="4C827773"/>
    <w:rsid w:val="4CD174E3"/>
    <w:rsid w:val="4D397CEC"/>
    <w:rsid w:val="4D96561F"/>
    <w:rsid w:val="4DBB40F4"/>
    <w:rsid w:val="4E25398F"/>
    <w:rsid w:val="4E7074C0"/>
    <w:rsid w:val="4E7107A4"/>
    <w:rsid w:val="4FC12767"/>
    <w:rsid w:val="50220519"/>
    <w:rsid w:val="50461BD5"/>
    <w:rsid w:val="506E504B"/>
    <w:rsid w:val="509820B0"/>
    <w:rsid w:val="514E600F"/>
    <w:rsid w:val="51B6042E"/>
    <w:rsid w:val="520D4845"/>
    <w:rsid w:val="52335E51"/>
    <w:rsid w:val="5247300A"/>
    <w:rsid w:val="529045AA"/>
    <w:rsid w:val="52B4193C"/>
    <w:rsid w:val="531B2791"/>
    <w:rsid w:val="532207FA"/>
    <w:rsid w:val="53490668"/>
    <w:rsid w:val="536C7373"/>
    <w:rsid w:val="53D30C87"/>
    <w:rsid w:val="541F1F7A"/>
    <w:rsid w:val="55546ACC"/>
    <w:rsid w:val="55B33E25"/>
    <w:rsid w:val="55CF4B64"/>
    <w:rsid w:val="55E96359"/>
    <w:rsid w:val="56056857"/>
    <w:rsid w:val="56330303"/>
    <w:rsid w:val="567C1A4F"/>
    <w:rsid w:val="570E1469"/>
    <w:rsid w:val="577C41D9"/>
    <w:rsid w:val="578E3AAF"/>
    <w:rsid w:val="57C93CD7"/>
    <w:rsid w:val="58234D9B"/>
    <w:rsid w:val="582434F0"/>
    <w:rsid w:val="58C61D6F"/>
    <w:rsid w:val="58D34D0A"/>
    <w:rsid w:val="59155435"/>
    <w:rsid w:val="59260812"/>
    <w:rsid w:val="59D27EE5"/>
    <w:rsid w:val="5A3C4519"/>
    <w:rsid w:val="5A4D6F36"/>
    <w:rsid w:val="5B196C5E"/>
    <w:rsid w:val="5B437049"/>
    <w:rsid w:val="5B7D63AC"/>
    <w:rsid w:val="5B8C5020"/>
    <w:rsid w:val="5BB32E33"/>
    <w:rsid w:val="5C066469"/>
    <w:rsid w:val="5C581B98"/>
    <w:rsid w:val="5C650541"/>
    <w:rsid w:val="5CE45BBF"/>
    <w:rsid w:val="5CE86966"/>
    <w:rsid w:val="5D497579"/>
    <w:rsid w:val="5D4C2DEB"/>
    <w:rsid w:val="5DA723DE"/>
    <w:rsid w:val="5DE607DE"/>
    <w:rsid w:val="5E522CF0"/>
    <w:rsid w:val="5F831EC9"/>
    <w:rsid w:val="5F881479"/>
    <w:rsid w:val="5FBB6805"/>
    <w:rsid w:val="5FD8114B"/>
    <w:rsid w:val="5FDF604A"/>
    <w:rsid w:val="5FFA2DD3"/>
    <w:rsid w:val="60065157"/>
    <w:rsid w:val="607138C8"/>
    <w:rsid w:val="60B90AAB"/>
    <w:rsid w:val="60D168C6"/>
    <w:rsid w:val="60EC3268"/>
    <w:rsid w:val="613928B2"/>
    <w:rsid w:val="61C565C4"/>
    <w:rsid w:val="6244702F"/>
    <w:rsid w:val="626F5A1C"/>
    <w:rsid w:val="6285168C"/>
    <w:rsid w:val="62B21879"/>
    <w:rsid w:val="62F60B16"/>
    <w:rsid w:val="634F0548"/>
    <w:rsid w:val="636527E3"/>
    <w:rsid w:val="639D74EC"/>
    <w:rsid w:val="63A3188A"/>
    <w:rsid w:val="63DA1046"/>
    <w:rsid w:val="63F24871"/>
    <w:rsid w:val="63FC3008"/>
    <w:rsid w:val="64021D95"/>
    <w:rsid w:val="643E5075"/>
    <w:rsid w:val="647F130D"/>
    <w:rsid w:val="64B311D6"/>
    <w:rsid w:val="65357397"/>
    <w:rsid w:val="65411910"/>
    <w:rsid w:val="654B39E6"/>
    <w:rsid w:val="654D601E"/>
    <w:rsid w:val="662011C9"/>
    <w:rsid w:val="66FB0723"/>
    <w:rsid w:val="67212A36"/>
    <w:rsid w:val="67547C87"/>
    <w:rsid w:val="677509E0"/>
    <w:rsid w:val="67DD3A75"/>
    <w:rsid w:val="685C2DDF"/>
    <w:rsid w:val="69045F57"/>
    <w:rsid w:val="692F4F44"/>
    <w:rsid w:val="693014E8"/>
    <w:rsid w:val="69790883"/>
    <w:rsid w:val="699B2F9E"/>
    <w:rsid w:val="69AA7D7E"/>
    <w:rsid w:val="6A0F60A3"/>
    <w:rsid w:val="6A3D00DC"/>
    <w:rsid w:val="6ACA4FDE"/>
    <w:rsid w:val="6AF83CAB"/>
    <w:rsid w:val="6B154140"/>
    <w:rsid w:val="6B16374E"/>
    <w:rsid w:val="6B2B72E2"/>
    <w:rsid w:val="6B4939AC"/>
    <w:rsid w:val="6B903B06"/>
    <w:rsid w:val="6BB80830"/>
    <w:rsid w:val="6BFA3EFD"/>
    <w:rsid w:val="6C58479E"/>
    <w:rsid w:val="6CDD5038"/>
    <w:rsid w:val="6CE30E35"/>
    <w:rsid w:val="6D2F32EA"/>
    <w:rsid w:val="6DBE1DE9"/>
    <w:rsid w:val="6DCC37B0"/>
    <w:rsid w:val="6DDA3DCA"/>
    <w:rsid w:val="6E030247"/>
    <w:rsid w:val="6EBD7F52"/>
    <w:rsid w:val="6F4434CF"/>
    <w:rsid w:val="6F861A33"/>
    <w:rsid w:val="6F874AC5"/>
    <w:rsid w:val="6FEE2CEB"/>
    <w:rsid w:val="70CB6B77"/>
    <w:rsid w:val="70D14A66"/>
    <w:rsid w:val="713B5623"/>
    <w:rsid w:val="71703D80"/>
    <w:rsid w:val="7176495B"/>
    <w:rsid w:val="71EC222B"/>
    <w:rsid w:val="72A87CD9"/>
    <w:rsid w:val="72D803A9"/>
    <w:rsid w:val="73636208"/>
    <w:rsid w:val="739326CA"/>
    <w:rsid w:val="741730B9"/>
    <w:rsid w:val="74CE5F27"/>
    <w:rsid w:val="74D16B40"/>
    <w:rsid w:val="74ED0BCD"/>
    <w:rsid w:val="74F62D6C"/>
    <w:rsid w:val="75285EF7"/>
    <w:rsid w:val="757339A9"/>
    <w:rsid w:val="75A73A6D"/>
    <w:rsid w:val="75DA3E85"/>
    <w:rsid w:val="76580B18"/>
    <w:rsid w:val="76656D8E"/>
    <w:rsid w:val="76F00EED"/>
    <w:rsid w:val="76F219DB"/>
    <w:rsid w:val="78B4753E"/>
    <w:rsid w:val="78EB5B66"/>
    <w:rsid w:val="7947539B"/>
    <w:rsid w:val="795A757F"/>
    <w:rsid w:val="795C1AD5"/>
    <w:rsid w:val="79684ED8"/>
    <w:rsid w:val="796B4905"/>
    <w:rsid w:val="79833710"/>
    <w:rsid w:val="7A52580D"/>
    <w:rsid w:val="7A885C01"/>
    <w:rsid w:val="7AC432C8"/>
    <w:rsid w:val="7AD14AB9"/>
    <w:rsid w:val="7AD767E0"/>
    <w:rsid w:val="7ADF04AD"/>
    <w:rsid w:val="7AF964DD"/>
    <w:rsid w:val="7CB83AAA"/>
    <w:rsid w:val="7CFD5786"/>
    <w:rsid w:val="7D3E2295"/>
    <w:rsid w:val="7D4526F7"/>
    <w:rsid w:val="7D6E64F9"/>
    <w:rsid w:val="7D7B20DC"/>
    <w:rsid w:val="7D947DBB"/>
    <w:rsid w:val="7DED076F"/>
    <w:rsid w:val="7F5D0B04"/>
    <w:rsid w:val="7FC00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1"/>
    <w:pPr>
      <w:spacing w:before="61"/>
      <w:ind w:left="489" w:right="116"/>
      <w:jc w:val="center"/>
      <w:outlineLvl w:val="3"/>
    </w:pPr>
    <w:rPr>
      <w:rFonts w:ascii="宋体" w:hAnsi="宋体" w:cs="宋体"/>
      <w:sz w:val="28"/>
      <w:szCs w:val="28"/>
      <w:u w:val="single" w:color="000000"/>
      <w:lang w:val="zh-CN" w:bidi="zh-CN"/>
    </w:rPr>
  </w:style>
  <w:style w:type="paragraph" w:styleId="6">
    <w:name w:val="heading 5"/>
    <w:basedOn w:val="1"/>
    <w:next w:val="1"/>
    <w:qFormat/>
    <w:uiPriority w:val="1"/>
    <w:pPr>
      <w:ind w:left="998"/>
      <w:outlineLvl w:val="4"/>
    </w:pPr>
    <w:rPr>
      <w:rFonts w:ascii="宋体" w:hAnsi="宋体" w:cs="宋体"/>
      <w:b/>
      <w:bCs/>
      <w:sz w:val="24"/>
      <w:szCs w:val="24"/>
      <w:lang w:val="zh-CN" w:bidi="zh-CN"/>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8">
    <w:name w:val="Normal Indent"/>
    <w:basedOn w:val="1"/>
    <w:qFormat/>
    <w:uiPriority w:val="0"/>
    <w:pPr>
      <w:ind w:firstLine="420" w:firstLineChars="200"/>
      <w:jc w:val="both"/>
    </w:pPr>
    <w:rPr>
      <w:kern w:val="2"/>
      <w:szCs w:val="24"/>
    </w:rPr>
  </w:style>
  <w:style w:type="paragraph" w:styleId="9">
    <w:name w:val="toa heading"/>
    <w:basedOn w:val="1"/>
    <w:next w:val="1"/>
    <w:qFormat/>
    <w:uiPriority w:val="0"/>
    <w:rPr>
      <w:rFonts w:ascii="Arial" w:hAnsi="Arial"/>
      <w:sz w:val="24"/>
    </w:rPr>
  </w:style>
  <w:style w:type="paragraph" w:styleId="10">
    <w:name w:val="annotation text"/>
    <w:basedOn w:val="1"/>
    <w:link w:val="33"/>
    <w:qFormat/>
    <w:uiPriority w:val="0"/>
  </w:style>
  <w:style w:type="paragraph" w:styleId="11">
    <w:name w:val="Body Text"/>
    <w:basedOn w:val="1"/>
    <w:next w:val="12"/>
    <w:qFormat/>
    <w:uiPriority w:val="0"/>
    <w:pPr>
      <w:autoSpaceDE/>
      <w:autoSpaceDN/>
      <w:adjustRightInd/>
      <w:spacing w:after="120"/>
      <w:jc w:val="both"/>
    </w:pPr>
    <w:rPr>
      <w:szCs w:val="24"/>
    </w:rPr>
  </w:style>
  <w:style w:type="paragraph" w:customStyle="1" w:styleId="1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Body Text Indent"/>
    <w:basedOn w:val="1"/>
    <w:qFormat/>
    <w:uiPriority w:val="0"/>
    <w:pPr>
      <w:spacing w:line="360" w:lineRule="auto"/>
      <w:ind w:left="716" w:leftChars="341" w:firstLine="2"/>
    </w:pPr>
    <w:rPr>
      <w:rFonts w:ascii="宋体" w:hAnsi="宋体"/>
      <w:bCs/>
      <w:szCs w:val="24"/>
    </w:rPr>
  </w:style>
  <w:style w:type="paragraph" w:styleId="14">
    <w:name w:val="Plain Text"/>
    <w:basedOn w:val="1"/>
    <w:link w:val="34"/>
    <w:qFormat/>
    <w:uiPriority w:val="0"/>
    <w:pPr>
      <w:autoSpaceDE/>
      <w:autoSpaceDN/>
      <w:adjustRightInd/>
      <w:jc w:val="both"/>
    </w:pPr>
    <w:rPr>
      <w:rFonts w:ascii="宋体" w:hAnsi="Courier New"/>
      <w:szCs w:val="21"/>
    </w:rPr>
  </w:style>
  <w:style w:type="paragraph" w:styleId="15">
    <w:name w:val="Date"/>
    <w:basedOn w:val="1"/>
    <w:next w:val="1"/>
    <w:qFormat/>
    <w:uiPriority w:val="0"/>
    <w:pPr>
      <w:jc w:val="both"/>
      <w:textAlignment w:val="baseline"/>
    </w:pPr>
    <w:rPr>
      <w:rFonts w:ascii="宋体"/>
      <w:sz w:val="28"/>
    </w:rPr>
  </w:style>
  <w:style w:type="paragraph" w:styleId="16">
    <w:name w:val="Balloon Text"/>
    <w:basedOn w:val="1"/>
    <w:link w:val="35"/>
    <w:qFormat/>
    <w:uiPriority w:val="0"/>
    <w:rPr>
      <w:sz w:val="18"/>
      <w:szCs w:val="18"/>
    </w:rPr>
  </w:style>
  <w:style w:type="paragraph" w:styleId="17">
    <w:name w:val="footer"/>
    <w:basedOn w:val="1"/>
    <w:unhideWhenUsed/>
    <w:qFormat/>
    <w:uiPriority w:val="0"/>
    <w:pPr>
      <w:tabs>
        <w:tab w:val="center" w:pos="4153"/>
        <w:tab w:val="right" w:pos="8306"/>
      </w:tabs>
      <w:snapToGrid w:val="0"/>
    </w:pPr>
    <w:rPr>
      <w:rFonts w:ascii="Calibri" w:hAnsi="Calibri"/>
      <w:sz w:val="18"/>
      <w:szCs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9">
    <w:name w:val="toc 1"/>
    <w:basedOn w:val="1"/>
    <w:next w:val="1"/>
    <w:qFormat/>
    <w:uiPriority w:val="39"/>
    <w:pPr>
      <w:tabs>
        <w:tab w:val="right" w:leader="dot" w:pos="9060"/>
      </w:tabs>
      <w:autoSpaceDE/>
      <w:autoSpaceDN/>
      <w:adjustRightInd/>
      <w:spacing w:line="360" w:lineRule="auto"/>
      <w:jc w:val="both"/>
    </w:pPr>
    <w:rPr>
      <w:kern w:val="2"/>
      <w:sz w:val="21"/>
    </w:rPr>
  </w:style>
  <w:style w:type="paragraph" w:styleId="20">
    <w:name w:val="Normal (Web)"/>
    <w:basedOn w:val="1"/>
    <w:qFormat/>
    <w:uiPriority w:val="99"/>
    <w:pPr>
      <w:widowControl/>
      <w:autoSpaceDE/>
      <w:autoSpaceDN/>
      <w:adjustRightInd/>
      <w:spacing w:before="100" w:beforeAutospacing="1" w:after="100" w:afterAutospacing="1"/>
    </w:pPr>
    <w:rPr>
      <w:rFonts w:ascii="宋体" w:hAnsi="宋体"/>
      <w:sz w:val="24"/>
      <w:szCs w:val="24"/>
    </w:rPr>
  </w:style>
  <w:style w:type="paragraph" w:styleId="21">
    <w:name w:val="Title"/>
    <w:basedOn w:val="1"/>
    <w:qFormat/>
    <w:uiPriority w:val="0"/>
    <w:pPr>
      <w:tabs>
        <w:tab w:val="left" w:pos="420"/>
      </w:tabs>
      <w:spacing w:before="120" w:line="360" w:lineRule="auto"/>
      <w:ind w:left="420" w:hanging="420"/>
      <w:jc w:val="both"/>
      <w:textAlignment w:val="baseline"/>
    </w:pPr>
    <w:rPr>
      <w:rFonts w:eastAsia="隶书_GB2312"/>
      <w:b/>
      <w:sz w:val="48"/>
    </w:rPr>
  </w:style>
  <w:style w:type="paragraph" w:styleId="22">
    <w:name w:val="annotation subject"/>
    <w:basedOn w:val="10"/>
    <w:next w:val="10"/>
    <w:link w:val="36"/>
    <w:qFormat/>
    <w:uiPriority w:val="0"/>
    <w:rPr>
      <w:b/>
      <w:bCs/>
    </w:rPr>
  </w:style>
  <w:style w:type="paragraph" w:styleId="23">
    <w:name w:val="Body Text First Indent"/>
    <w:basedOn w:val="11"/>
    <w:qFormat/>
    <w:uiPriority w:val="0"/>
    <w:pPr>
      <w:ind w:firstLine="420" w:firstLineChars="1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Emphasis"/>
    <w:basedOn w:val="26"/>
    <w:qFormat/>
    <w:uiPriority w:val="20"/>
    <w:rPr>
      <w:i/>
    </w:rPr>
  </w:style>
  <w:style w:type="character" w:styleId="29">
    <w:name w:val="Hyperlink"/>
    <w:qFormat/>
    <w:uiPriority w:val="99"/>
    <w:rPr>
      <w:color w:val="0000FF"/>
      <w:u w:val="single"/>
    </w:rPr>
  </w:style>
  <w:style w:type="character" w:styleId="30">
    <w:name w:val="annotation reference"/>
    <w:basedOn w:val="26"/>
    <w:qFormat/>
    <w:uiPriority w:val="0"/>
    <w:rPr>
      <w:sz w:val="21"/>
      <w:szCs w:val="21"/>
    </w:rPr>
  </w:style>
  <w:style w:type="paragraph" w:customStyle="1" w:styleId="31">
    <w:name w:val="_Style 3"/>
    <w:basedOn w:val="1"/>
    <w:qFormat/>
    <w:uiPriority w:val="0"/>
    <w:pPr>
      <w:spacing w:line="480" w:lineRule="exact"/>
      <w:ind w:firstLine="560"/>
    </w:pPr>
    <w:rPr>
      <w:rFonts w:ascii="宋体" w:hAnsi="宋体"/>
      <w:color w:val="000000"/>
      <w:sz w:val="28"/>
    </w:rPr>
  </w:style>
  <w:style w:type="character" w:customStyle="1" w:styleId="32">
    <w:name w:val="标题 1 字符"/>
    <w:link w:val="2"/>
    <w:qFormat/>
    <w:uiPriority w:val="0"/>
    <w:rPr>
      <w:b/>
      <w:bCs/>
      <w:kern w:val="44"/>
      <w:sz w:val="44"/>
      <w:szCs w:val="44"/>
    </w:rPr>
  </w:style>
  <w:style w:type="character" w:customStyle="1" w:styleId="33">
    <w:name w:val="批注文字 字符"/>
    <w:basedOn w:val="26"/>
    <w:link w:val="10"/>
    <w:qFormat/>
    <w:uiPriority w:val="0"/>
  </w:style>
  <w:style w:type="character" w:customStyle="1" w:styleId="34">
    <w:name w:val="纯文本 字符"/>
    <w:link w:val="14"/>
    <w:qFormat/>
    <w:uiPriority w:val="0"/>
    <w:rPr>
      <w:rFonts w:ascii="宋体" w:hAnsi="Courier New"/>
      <w:szCs w:val="21"/>
    </w:rPr>
  </w:style>
  <w:style w:type="character" w:customStyle="1" w:styleId="35">
    <w:name w:val="批注框文本 字符"/>
    <w:basedOn w:val="26"/>
    <w:link w:val="16"/>
    <w:qFormat/>
    <w:uiPriority w:val="0"/>
    <w:rPr>
      <w:sz w:val="18"/>
      <w:szCs w:val="18"/>
    </w:rPr>
  </w:style>
  <w:style w:type="character" w:customStyle="1" w:styleId="36">
    <w:name w:val="批注主题 字符"/>
    <w:basedOn w:val="33"/>
    <w:link w:val="22"/>
    <w:qFormat/>
    <w:uiPriority w:val="0"/>
    <w:rPr>
      <w:rFonts w:ascii="Times New Roman" w:hAnsi="Times New Roman"/>
      <w:b/>
      <w:bCs/>
    </w:rPr>
  </w:style>
  <w:style w:type="paragraph" w:customStyle="1" w:styleId="37">
    <w:name w:val="表格文字"/>
    <w:basedOn w:val="1"/>
    <w:qFormat/>
    <w:uiPriority w:val="0"/>
    <w:pPr>
      <w:spacing w:before="25" w:after="25"/>
    </w:pPr>
    <w:rPr>
      <w:bCs/>
      <w:spacing w:val="10"/>
      <w:sz w:val="24"/>
    </w:rPr>
  </w:style>
  <w:style w:type="paragraph" w:customStyle="1" w:styleId="38">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sz w:val="28"/>
      <w:lang w:eastAsia="en-US" w:bidi="en-US"/>
    </w:rPr>
  </w:style>
  <w:style w:type="character" w:customStyle="1" w:styleId="39">
    <w:name w:val="font11"/>
    <w:basedOn w:val="26"/>
    <w:qFormat/>
    <w:uiPriority w:val="0"/>
    <w:rPr>
      <w:rFonts w:hint="eastAsia" w:ascii="宋体" w:hAnsi="宋体" w:eastAsia="宋体" w:cs="宋体"/>
      <w:color w:val="000000"/>
      <w:sz w:val="24"/>
      <w:szCs w:val="24"/>
      <w:u w:val="single"/>
    </w:rPr>
  </w:style>
  <w:style w:type="character" w:customStyle="1" w:styleId="40">
    <w:name w:val="font31"/>
    <w:basedOn w:val="26"/>
    <w:qFormat/>
    <w:uiPriority w:val="0"/>
    <w:rPr>
      <w:rFonts w:hint="eastAsia" w:ascii="宋体" w:hAnsi="宋体" w:eastAsia="宋体" w:cs="宋体"/>
      <w:b/>
      <w:color w:val="000000"/>
      <w:sz w:val="24"/>
      <w:szCs w:val="24"/>
      <w:u w:val="single"/>
    </w:rPr>
  </w:style>
  <w:style w:type="character" w:customStyle="1" w:styleId="41">
    <w:name w:val="font41"/>
    <w:basedOn w:val="26"/>
    <w:qFormat/>
    <w:uiPriority w:val="0"/>
    <w:rPr>
      <w:rFonts w:hint="eastAsia" w:ascii="宋体" w:hAnsi="宋体" w:eastAsia="宋体" w:cs="宋体"/>
      <w:b/>
      <w:color w:val="000000"/>
      <w:sz w:val="24"/>
      <w:szCs w:val="24"/>
      <w:u w:val="single"/>
    </w:rPr>
  </w:style>
  <w:style w:type="character" w:customStyle="1" w:styleId="42">
    <w:name w:val="NormalCharacter"/>
    <w:qFormat/>
    <w:uiPriority w:val="0"/>
  </w:style>
  <w:style w:type="paragraph" w:customStyle="1" w:styleId="43">
    <w:name w:val="样式1"/>
    <w:basedOn w:val="44"/>
    <w:qFormat/>
    <w:uiPriority w:val="0"/>
    <w:pPr>
      <w:tabs>
        <w:tab w:val="right" w:leader="dot" w:pos="8642"/>
      </w:tabs>
      <w:spacing w:line="360" w:lineRule="auto"/>
    </w:pPr>
    <w:rPr>
      <w:rFonts w:hAnsi="宋体"/>
      <w:b/>
      <w:bCs/>
      <w:kern w:val="2"/>
      <w:sz w:val="28"/>
      <w:szCs w:val="21"/>
    </w:rPr>
  </w:style>
  <w:style w:type="paragraph" w:customStyle="1" w:styleId="44">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5">
    <w:name w:val="标准正文"/>
    <w:basedOn w:val="1"/>
    <w:qFormat/>
    <w:uiPriority w:val="0"/>
    <w:pPr>
      <w:snapToGrid w:val="0"/>
      <w:spacing w:afterLines="50" w:line="360" w:lineRule="auto"/>
      <w:ind w:firstLine="200" w:firstLineChars="200"/>
    </w:pPr>
    <w:rPr>
      <w:sz w:val="24"/>
      <w:lang w:val="zh-CN"/>
    </w:rPr>
  </w:style>
  <w:style w:type="paragraph" w:customStyle="1" w:styleId="46">
    <w:name w:val="List Paragraph1"/>
    <w:basedOn w:val="1"/>
    <w:qFormat/>
    <w:uiPriority w:val="0"/>
    <w:pPr>
      <w:ind w:left="720"/>
    </w:pPr>
  </w:style>
  <w:style w:type="paragraph" w:customStyle="1" w:styleId="47">
    <w:name w:val="Table Paragraph"/>
    <w:basedOn w:val="1"/>
    <w:qFormat/>
    <w:uiPriority w:val="1"/>
    <w:rPr>
      <w:rFonts w:ascii="宋体" w:hAnsi="宋体" w:cs="宋体"/>
      <w:lang w:val="zh-CN" w:bidi="zh-CN"/>
    </w:rPr>
  </w:style>
  <w:style w:type="paragraph" w:customStyle="1" w:styleId="48">
    <w:name w:val="p0"/>
    <w:basedOn w:val="1"/>
    <w:qFormat/>
    <w:uiPriority w:val="0"/>
    <w:pPr>
      <w:widowControl/>
    </w:pPr>
    <w:rPr>
      <w:szCs w:val="21"/>
    </w:rPr>
  </w:style>
  <w:style w:type="paragraph" w:customStyle="1" w:styleId="49">
    <w:name w:val="Header or footer|2"/>
    <w:basedOn w:val="1"/>
    <w:qFormat/>
    <w:uiPriority w:val="0"/>
    <w:rPr>
      <w:lang w:val="zh-TW" w:eastAsia="zh-TW" w:bidi="zh-TW"/>
    </w:rPr>
  </w:style>
  <w:style w:type="paragraph" w:styleId="50">
    <w:name w:val="List Paragraph"/>
    <w:basedOn w:val="1"/>
    <w:qFormat/>
    <w:uiPriority w:val="34"/>
    <w:pPr>
      <w:ind w:firstLine="420" w:firstLineChars="200"/>
    </w:pPr>
  </w:style>
  <w:style w:type="paragraph" w:customStyle="1" w:styleId="51">
    <w:name w:val="图"/>
    <w:basedOn w:val="1"/>
    <w:qFormat/>
    <w:uiPriority w:val="0"/>
    <w:pPr>
      <w:keepNext/>
      <w:autoSpaceDE/>
      <w:autoSpaceDN/>
      <w:spacing w:before="60" w:after="60" w:line="300" w:lineRule="auto"/>
      <w:jc w:val="center"/>
      <w:textAlignment w:val="center"/>
    </w:pPr>
    <w:rPr>
      <w:snapToGrid w:val="0"/>
      <w:spacing w:val="20"/>
      <w:sz w:val="24"/>
    </w:rPr>
  </w:style>
  <w:style w:type="paragraph" w:customStyle="1" w:styleId="52">
    <w:name w:val="普通 (Web)"/>
    <w:basedOn w:val="1"/>
    <w:qFormat/>
    <w:uiPriority w:val="0"/>
    <w:pPr>
      <w:widowControl/>
      <w:spacing w:before="100" w:beforeAutospacing="1" w:after="100" w:afterAutospacing="1"/>
    </w:pPr>
    <w:rPr>
      <w:rFonts w:ascii="宋体" w:hAnsi="宋体"/>
      <w:sz w:val="24"/>
    </w:rPr>
  </w:style>
  <w:style w:type="paragraph" w:customStyle="1" w:styleId="53">
    <w:name w:val="标准文本"/>
    <w:basedOn w:val="1"/>
    <w:qFormat/>
    <w:uiPriority w:val="0"/>
    <w:pPr>
      <w:widowControl/>
      <w:ind w:firstLine="480"/>
    </w:pPr>
    <w:rPr>
      <w:rFonts w:ascii="宋体" w:hAnsi="宋体" w:cs="宋体"/>
      <w:sz w:val="24"/>
    </w:rPr>
  </w:style>
  <w:style w:type="character" w:customStyle="1" w:styleId="54">
    <w:name w:val="font01"/>
    <w:basedOn w:val="26"/>
    <w:qFormat/>
    <w:uiPriority w:val="0"/>
    <w:rPr>
      <w:rFonts w:hint="eastAsia" w:ascii="宋体" w:hAnsi="宋体" w:eastAsia="宋体" w:cs="宋体"/>
      <w:color w:val="000000"/>
      <w:sz w:val="24"/>
      <w:szCs w:val="24"/>
      <w:u w:val="none"/>
    </w:rPr>
  </w:style>
  <w:style w:type="paragraph" w:customStyle="1" w:styleId="55">
    <w:name w:val="列出段落1"/>
    <w:basedOn w:val="1"/>
    <w:qFormat/>
    <w:uiPriority w:val="0"/>
    <w:pPr>
      <w:ind w:firstLine="420" w:firstLineChars="200"/>
    </w:pPr>
    <w:rPr>
      <w:rFonts w:ascii="Calibri" w:hAnsi="Calibri"/>
      <w:szCs w:val="22"/>
    </w:rPr>
  </w:style>
  <w:style w:type="paragraph" w:customStyle="1" w:styleId="56">
    <w:name w:val="xl26"/>
    <w:basedOn w:val="1"/>
    <w:qFormat/>
    <w:uiPriority w:val="0"/>
    <w:pPr>
      <w:widowControl/>
      <w:spacing w:before="100" w:beforeAutospacing="1" w:after="100" w:afterAutospacing="1"/>
      <w:jc w:val="center"/>
      <w:textAlignment w:val="center"/>
    </w:pPr>
    <w:rPr>
      <w:rFonts w:ascii="宋体" w:hAnsi="宋体"/>
      <w:b/>
      <w:bCs/>
      <w:sz w:val="24"/>
    </w:rPr>
  </w:style>
  <w:style w:type="paragraph" w:customStyle="1" w:styleId="5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2399</Words>
  <Characters>2493</Characters>
  <Lines>18</Lines>
  <Paragraphs>5</Paragraphs>
  <TotalTime>13</TotalTime>
  <ScaleCrop>false</ScaleCrop>
  <LinksUpToDate>false</LinksUpToDate>
  <CharactersWithSpaces>2509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2020-09-30T08:02:00Z</dcterms:created>
  <dc:creator>lululuo</dc:creator>
  <cp:lastModifiedBy>HJM</cp:lastModifiedBy>
  <cp:lastPrinted>2022-08-25T00:02:00Z</cp:lastPrinted>
  <dcterms:modified xsi:type="dcterms:W3CDTF">2026-04-23T01:29:04Z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7626D670134848FAA4DEC9E4EFAC6274_13</vt:lpwstr>
  </property>
  <property fmtid="{D5CDD505-2E9C-101B-9397-08002B2CF9AE}" pid="4" name="KSOTemplateDocerSaveRecord">
    <vt:lpwstr>eyJoZGlkIjoiZjk1ZDJiNThkZTdkZGQ1YjgxMDRhMDM2MDcwMDg4NzYiLCJ1c2VySWQiOiI2ODc1NTEyNTQifQ==</vt:lpwstr>
  </property>
</Properties>
</file>