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CFB" w14:textId="2CFB92AF" w:rsidR="003E55EB" w:rsidRDefault="006C4370" w:rsidP="00192E72">
      <w:pPr>
        <w:spacing w:before="360"/>
        <w:jc w:val="center"/>
      </w:pPr>
      <w:r w:rsidRPr="006C4370">
        <w:rPr>
          <w:rFonts w:hint="eastAsia"/>
        </w:rPr>
        <w:t>神经和肌肉刺激仪</w:t>
      </w:r>
      <w:r w:rsidRPr="006C4370">
        <w:rPr>
          <w:rFonts w:hint="eastAsia"/>
        </w:rPr>
        <w:t>(</w:t>
      </w:r>
      <w:r w:rsidRPr="006C4370">
        <w:rPr>
          <w:rFonts w:hint="eastAsia"/>
        </w:rPr>
        <w:t>靶向</w:t>
      </w:r>
      <w:r w:rsidRPr="006C4370">
        <w:rPr>
          <w:rFonts w:hint="eastAsia"/>
        </w:rPr>
        <w:t>-</w:t>
      </w:r>
      <w:r w:rsidRPr="006C4370">
        <w:rPr>
          <w:rFonts w:hint="eastAsia"/>
        </w:rPr>
        <w:t>闭环迷走神经调控系统</w:t>
      </w:r>
      <w:r w:rsidRPr="006C4370">
        <w:rPr>
          <w:rFonts w:hint="eastAsia"/>
        </w:rPr>
        <w:t>)</w:t>
      </w:r>
      <w:r w:rsidR="00E76996">
        <w:rPr>
          <w:rFonts w:hint="eastAsia"/>
        </w:rPr>
        <w:t>需求</w:t>
      </w:r>
      <w:r>
        <w:rPr>
          <w:rFonts w:hint="eastAsia"/>
        </w:rPr>
        <w:t>参数</w:t>
      </w:r>
    </w:p>
    <w:p w14:paraId="0DA09A6A" w14:textId="77777777" w:rsidR="008116AB" w:rsidRPr="008116AB" w:rsidRDefault="008116AB" w:rsidP="00E76996">
      <w:pPr>
        <w:spacing w:beforeLines="0" w:before="0" w:line="360" w:lineRule="auto"/>
        <w:jc w:val="left"/>
        <w:rPr>
          <w:rFonts w:ascii="Times New Roman" w:eastAsia="宋体" w:hAnsi="Times New Roman"/>
          <w:sz w:val="24"/>
        </w:rPr>
      </w:pPr>
    </w:p>
    <w:p w14:paraId="203BBD74" w14:textId="1AF6EAF6" w:rsidR="00E76996" w:rsidRPr="00E76996" w:rsidRDefault="00E76996" w:rsidP="00E76996">
      <w:pPr>
        <w:spacing w:beforeLines="0" w:before="0" w:line="360" w:lineRule="auto"/>
        <w:jc w:val="left"/>
        <w:rPr>
          <w:rFonts w:ascii="Times New Roman" w:eastAsia="宋体" w:hAnsi="Times New Roman"/>
          <w:sz w:val="24"/>
        </w:rPr>
      </w:pPr>
      <w:r w:rsidRPr="00E76996">
        <w:rPr>
          <w:rFonts w:ascii="Times New Roman" w:eastAsia="宋体" w:hAnsi="Times New Roman" w:hint="eastAsia"/>
          <w:sz w:val="24"/>
        </w:rPr>
        <w:t>一．技术参数</w:t>
      </w:r>
    </w:p>
    <w:p w14:paraId="0DFC9FCB"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1.</w:t>
      </w:r>
      <w:r w:rsidRPr="002066F0">
        <w:rPr>
          <w:rFonts w:ascii="Times New Roman" w:eastAsia="宋体" w:hAnsi="Times New Roman" w:hint="eastAsia"/>
          <w:sz w:val="24"/>
        </w:rPr>
        <w:t>刺激模式</w:t>
      </w:r>
    </w:p>
    <w:p w14:paraId="2F8AF4F5" w14:textId="7CBB6FD6"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1</w:t>
      </w:r>
      <w:r w:rsidRPr="002066F0">
        <w:rPr>
          <w:rFonts w:ascii="Times New Roman" w:eastAsia="宋体" w:hAnsi="Times New Roman" w:hint="eastAsia"/>
          <w:sz w:val="24"/>
        </w:rPr>
        <w:t>）</w:t>
      </w:r>
      <w:r w:rsidR="00BB513D">
        <w:rPr>
          <w:rFonts w:ascii="Times New Roman" w:eastAsia="宋体" w:hAnsi="Times New Roman" w:hint="eastAsia"/>
          <w:sz w:val="24"/>
        </w:rPr>
        <w:t>可分别设置两种频率运行和时间</w:t>
      </w:r>
      <w:r w:rsidRPr="002066F0">
        <w:rPr>
          <w:rFonts w:ascii="Times New Roman" w:eastAsia="宋体" w:hAnsi="Times New Roman" w:hint="eastAsia"/>
          <w:sz w:val="24"/>
        </w:rPr>
        <w:t>，两者交替；</w:t>
      </w:r>
      <w:r w:rsidR="00BB513D">
        <w:rPr>
          <w:rFonts w:ascii="Times New Roman" w:eastAsia="宋体" w:hAnsi="Times New Roman" w:hint="eastAsia"/>
          <w:sz w:val="24"/>
        </w:rPr>
        <w:t>可设置</w:t>
      </w:r>
      <w:r w:rsidRPr="002066F0">
        <w:rPr>
          <w:rFonts w:ascii="Times New Roman" w:eastAsia="宋体" w:hAnsi="Times New Roman" w:hint="eastAsia"/>
          <w:sz w:val="24"/>
        </w:rPr>
        <w:t>刺激时长；脉冲宽度：</w:t>
      </w:r>
      <w:r w:rsidRPr="002066F0">
        <w:rPr>
          <w:rFonts w:ascii="Times New Roman" w:eastAsia="宋体" w:hAnsi="Times New Roman" w:hint="eastAsia"/>
          <w:sz w:val="24"/>
        </w:rPr>
        <w:t>200us</w:t>
      </w:r>
      <w:r w:rsidRPr="002066F0">
        <w:rPr>
          <w:rFonts w:ascii="Times New Roman" w:eastAsia="宋体" w:hAnsi="Times New Roman" w:hint="eastAsia"/>
          <w:sz w:val="24"/>
        </w:rPr>
        <w:t>±</w:t>
      </w:r>
      <w:r w:rsidRPr="002066F0">
        <w:rPr>
          <w:rFonts w:ascii="Times New Roman" w:eastAsia="宋体" w:hAnsi="Times New Roman" w:hint="eastAsia"/>
          <w:sz w:val="24"/>
        </w:rPr>
        <w:t>30%</w:t>
      </w:r>
      <w:r w:rsidRPr="002066F0">
        <w:rPr>
          <w:rFonts w:ascii="Times New Roman" w:eastAsia="宋体" w:hAnsi="Times New Roman" w:hint="eastAsia"/>
          <w:sz w:val="24"/>
        </w:rPr>
        <w:t>。</w:t>
      </w:r>
    </w:p>
    <w:p w14:paraId="00E4160D"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2</w:t>
      </w:r>
      <w:r w:rsidRPr="002066F0">
        <w:rPr>
          <w:rFonts w:ascii="Times New Roman" w:eastAsia="宋体" w:hAnsi="Times New Roman" w:hint="eastAsia"/>
          <w:sz w:val="24"/>
        </w:rPr>
        <w:t>）▲脉宽可调；脉宽：</w:t>
      </w:r>
      <w:r w:rsidRPr="002066F0">
        <w:rPr>
          <w:rFonts w:ascii="Times New Roman" w:eastAsia="宋体" w:hAnsi="Times New Roman" w:hint="eastAsia"/>
          <w:sz w:val="24"/>
        </w:rPr>
        <w:t>100-500us</w:t>
      </w:r>
      <w:r w:rsidRPr="002066F0">
        <w:rPr>
          <w:rFonts w:ascii="Times New Roman" w:eastAsia="宋体" w:hAnsi="Times New Roman" w:hint="eastAsia"/>
          <w:sz w:val="24"/>
        </w:rPr>
        <w:t>，间隔</w:t>
      </w:r>
      <w:r w:rsidRPr="002066F0">
        <w:rPr>
          <w:rFonts w:ascii="Times New Roman" w:eastAsia="宋体" w:hAnsi="Times New Roman" w:hint="eastAsia"/>
          <w:sz w:val="24"/>
        </w:rPr>
        <w:t xml:space="preserve">50us </w:t>
      </w:r>
      <w:r w:rsidRPr="002066F0">
        <w:rPr>
          <w:rFonts w:ascii="Times New Roman" w:eastAsia="宋体" w:hAnsi="Times New Roman" w:hint="eastAsia"/>
          <w:sz w:val="24"/>
        </w:rPr>
        <w:t>可调；需提供证明材料。</w:t>
      </w:r>
    </w:p>
    <w:p w14:paraId="492EA94B"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2.</w:t>
      </w:r>
      <w:r w:rsidRPr="002066F0">
        <w:rPr>
          <w:rFonts w:ascii="Times New Roman" w:eastAsia="宋体" w:hAnsi="Times New Roman" w:hint="eastAsia"/>
          <w:sz w:val="24"/>
        </w:rPr>
        <w:t>电极</w:t>
      </w:r>
    </w:p>
    <w:p w14:paraId="1E218169"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(1)</w:t>
      </w:r>
      <w:r w:rsidRPr="002066F0">
        <w:rPr>
          <w:rFonts w:ascii="Times New Roman" w:eastAsia="宋体" w:hAnsi="Times New Roman" w:hint="eastAsia"/>
          <w:sz w:val="24"/>
        </w:rPr>
        <w:t>▲材质：不锈钢、硅胶；需提供外观照片及第三方证明。</w:t>
      </w:r>
    </w:p>
    <w:p w14:paraId="066E4BF3"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(2)</w:t>
      </w:r>
      <w:r w:rsidRPr="002066F0">
        <w:rPr>
          <w:rFonts w:ascii="Times New Roman" w:eastAsia="宋体" w:hAnsi="Times New Roman" w:hint="eastAsia"/>
          <w:sz w:val="24"/>
        </w:rPr>
        <w:t>形态：耳廓形态；需提供外观照片及第三方证明。</w:t>
      </w:r>
    </w:p>
    <w:p w14:paraId="50646299"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(3)</w:t>
      </w:r>
      <w:r w:rsidRPr="002066F0">
        <w:rPr>
          <w:rFonts w:ascii="Times New Roman" w:eastAsia="宋体" w:hAnsi="Times New Roman" w:hint="eastAsia"/>
          <w:sz w:val="24"/>
        </w:rPr>
        <w:t>尺寸规格：电极导线长度：</w:t>
      </w:r>
      <w:r w:rsidRPr="002066F0">
        <w:rPr>
          <w:rFonts w:ascii="Times New Roman" w:eastAsia="宋体" w:hAnsi="Times New Roman" w:hint="eastAsia"/>
          <w:sz w:val="24"/>
        </w:rPr>
        <w:t>1500mm</w:t>
      </w:r>
      <w:r w:rsidRPr="002066F0">
        <w:rPr>
          <w:rFonts w:ascii="Times New Roman" w:eastAsia="宋体" w:hAnsi="Times New Roman" w:hint="eastAsia"/>
          <w:sz w:val="24"/>
        </w:rPr>
        <w:t>±</w:t>
      </w:r>
      <w:r w:rsidRPr="002066F0">
        <w:rPr>
          <w:rFonts w:ascii="Times New Roman" w:eastAsia="宋体" w:hAnsi="Times New Roman" w:hint="eastAsia"/>
          <w:sz w:val="24"/>
        </w:rPr>
        <w:t>15%</w:t>
      </w:r>
      <w:r w:rsidRPr="002066F0">
        <w:rPr>
          <w:rFonts w:ascii="Times New Roman" w:eastAsia="宋体" w:hAnsi="Times New Roman" w:hint="eastAsia"/>
          <w:sz w:val="24"/>
        </w:rPr>
        <w:t>，电极导线两个金属触点宽</w:t>
      </w:r>
      <w:r w:rsidRPr="002066F0">
        <w:rPr>
          <w:rFonts w:ascii="Times New Roman" w:eastAsia="宋体" w:hAnsi="Times New Roman" w:hint="eastAsia"/>
          <w:sz w:val="24"/>
        </w:rPr>
        <w:t>2.9mm</w:t>
      </w:r>
      <w:r w:rsidRPr="002066F0">
        <w:rPr>
          <w:rFonts w:ascii="Times New Roman" w:eastAsia="宋体" w:hAnsi="Times New Roman" w:hint="eastAsia"/>
          <w:sz w:val="24"/>
        </w:rPr>
        <w:t>±</w:t>
      </w:r>
      <w:r w:rsidRPr="002066F0">
        <w:rPr>
          <w:rFonts w:ascii="Times New Roman" w:eastAsia="宋体" w:hAnsi="Times New Roman" w:hint="eastAsia"/>
          <w:sz w:val="24"/>
        </w:rPr>
        <w:t>5%</w:t>
      </w:r>
      <w:r w:rsidRPr="002066F0">
        <w:rPr>
          <w:rFonts w:ascii="Times New Roman" w:eastAsia="宋体" w:hAnsi="Times New Roman" w:hint="eastAsia"/>
          <w:sz w:val="24"/>
        </w:rPr>
        <w:t>、直径</w:t>
      </w:r>
      <w:r w:rsidRPr="002066F0">
        <w:rPr>
          <w:rFonts w:ascii="Times New Roman" w:eastAsia="宋体" w:hAnsi="Times New Roman" w:hint="eastAsia"/>
          <w:sz w:val="24"/>
        </w:rPr>
        <w:t>4.5mm</w:t>
      </w:r>
      <w:r w:rsidRPr="002066F0">
        <w:rPr>
          <w:rFonts w:ascii="Times New Roman" w:eastAsia="宋体" w:hAnsi="Times New Roman" w:hint="eastAsia"/>
          <w:sz w:val="24"/>
        </w:rPr>
        <w:t>±</w:t>
      </w:r>
      <w:r w:rsidRPr="002066F0">
        <w:rPr>
          <w:rFonts w:ascii="Times New Roman" w:eastAsia="宋体" w:hAnsi="Times New Roman" w:hint="eastAsia"/>
          <w:sz w:val="24"/>
        </w:rPr>
        <w:t>5%</w:t>
      </w:r>
      <w:r w:rsidRPr="002066F0">
        <w:rPr>
          <w:rFonts w:ascii="Times New Roman" w:eastAsia="宋体" w:hAnsi="Times New Roman" w:hint="eastAsia"/>
          <w:sz w:val="24"/>
        </w:rPr>
        <w:t>；</w:t>
      </w:r>
    </w:p>
    <w:p w14:paraId="36275FB3"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(4)</w:t>
      </w:r>
      <w:r w:rsidRPr="002066F0">
        <w:rPr>
          <w:rFonts w:ascii="Times New Roman" w:eastAsia="宋体" w:hAnsi="Times New Roman" w:hint="eastAsia"/>
          <w:sz w:val="24"/>
        </w:rPr>
        <w:t>阻抗：电极阻抗不超过</w:t>
      </w:r>
      <w:r w:rsidRPr="002066F0">
        <w:rPr>
          <w:rFonts w:ascii="Times New Roman" w:eastAsia="宋体" w:hAnsi="Times New Roman" w:hint="eastAsia"/>
          <w:sz w:val="24"/>
        </w:rPr>
        <w:t>4</w:t>
      </w:r>
      <w:r w:rsidRPr="002066F0">
        <w:rPr>
          <w:rFonts w:ascii="Times New Roman" w:eastAsia="宋体" w:hAnsi="Times New Roman" w:hint="eastAsia"/>
          <w:sz w:val="24"/>
        </w:rPr>
        <w:t>Ω±</w:t>
      </w:r>
      <w:r w:rsidRPr="002066F0">
        <w:rPr>
          <w:rFonts w:ascii="Times New Roman" w:eastAsia="宋体" w:hAnsi="Times New Roman" w:hint="eastAsia"/>
          <w:sz w:val="24"/>
        </w:rPr>
        <w:t>10%</w:t>
      </w:r>
      <w:r w:rsidRPr="002066F0">
        <w:rPr>
          <w:rFonts w:ascii="Times New Roman" w:eastAsia="宋体" w:hAnsi="Times New Roman" w:hint="eastAsia"/>
          <w:sz w:val="24"/>
        </w:rPr>
        <w:t>；</w:t>
      </w:r>
    </w:p>
    <w:p w14:paraId="1F8F20E2" w14:textId="77777777" w:rsidR="002066F0" w:rsidRPr="002066F0" w:rsidRDefault="002066F0" w:rsidP="002066F0">
      <w:pPr>
        <w:spacing w:beforeLines="0" w:before="0" w:line="360" w:lineRule="auto"/>
        <w:rPr>
          <w:rFonts w:ascii="Times New Roman" w:eastAsia="宋体" w:hAnsi="Times New Roman" w:hint="eastAsia"/>
          <w:sz w:val="24"/>
        </w:rPr>
      </w:pPr>
      <w:r w:rsidRPr="002066F0">
        <w:rPr>
          <w:rFonts w:ascii="Times New Roman" w:eastAsia="宋体" w:hAnsi="Times New Roman" w:hint="eastAsia"/>
          <w:sz w:val="24"/>
        </w:rPr>
        <w:t>3.</w:t>
      </w:r>
      <w:r w:rsidRPr="002066F0">
        <w:rPr>
          <w:rFonts w:ascii="Times New Roman" w:eastAsia="宋体" w:hAnsi="Times New Roman" w:hint="eastAsia"/>
          <w:sz w:val="24"/>
        </w:rPr>
        <w:t>刺激器电极最大允许输出限制：电极最大允许输出电压不超过</w:t>
      </w:r>
      <w:r w:rsidRPr="002066F0">
        <w:rPr>
          <w:rFonts w:ascii="Times New Roman" w:eastAsia="宋体" w:hAnsi="Times New Roman" w:hint="eastAsia"/>
          <w:sz w:val="24"/>
        </w:rPr>
        <w:t>110V</w:t>
      </w:r>
      <w:r w:rsidRPr="002066F0">
        <w:rPr>
          <w:rFonts w:ascii="Times New Roman" w:eastAsia="宋体" w:hAnsi="Times New Roman" w:hint="eastAsia"/>
          <w:sz w:val="24"/>
        </w:rPr>
        <w:t>；</w:t>
      </w:r>
    </w:p>
    <w:p w14:paraId="41DA8A6E" w14:textId="77777777" w:rsidR="006C4370" w:rsidRDefault="002066F0" w:rsidP="002066F0">
      <w:pPr>
        <w:spacing w:beforeLines="0" w:before="0" w:line="360" w:lineRule="auto"/>
        <w:rPr>
          <w:rFonts w:ascii="Times New Roman" w:eastAsia="宋体" w:hAnsi="Times New Roman"/>
          <w:sz w:val="24"/>
        </w:rPr>
      </w:pPr>
      <w:r w:rsidRPr="002066F0">
        <w:rPr>
          <w:rFonts w:ascii="Times New Roman" w:eastAsia="宋体" w:hAnsi="Times New Roman" w:hint="eastAsia"/>
          <w:sz w:val="24"/>
        </w:rPr>
        <w:t>4.</w:t>
      </w:r>
      <w:r w:rsidRPr="002066F0">
        <w:rPr>
          <w:rFonts w:ascii="Times New Roman" w:eastAsia="宋体" w:hAnsi="Times New Roman" w:hint="eastAsia"/>
          <w:sz w:val="24"/>
        </w:rPr>
        <w:t>输出电流的限值：≤</w:t>
      </w:r>
      <w:r w:rsidRPr="002066F0">
        <w:rPr>
          <w:rFonts w:ascii="Times New Roman" w:eastAsia="宋体" w:hAnsi="Times New Roman" w:hint="eastAsia"/>
          <w:sz w:val="24"/>
        </w:rPr>
        <w:t>50mA(500</w:t>
      </w:r>
      <w:r w:rsidRPr="002066F0">
        <w:rPr>
          <w:rFonts w:ascii="Times New Roman" w:eastAsia="宋体" w:hAnsi="Times New Roman" w:hint="eastAsia"/>
          <w:sz w:val="24"/>
        </w:rPr>
        <w:t>Ω负载阻抗</w:t>
      </w:r>
      <w:r w:rsidRPr="002066F0">
        <w:rPr>
          <w:rFonts w:ascii="Times New Roman" w:eastAsia="宋体" w:hAnsi="Times New Roman" w:hint="eastAsia"/>
          <w:sz w:val="24"/>
        </w:rPr>
        <w:t>)</w:t>
      </w:r>
      <w:r w:rsidRPr="002066F0">
        <w:rPr>
          <w:rFonts w:ascii="Times New Roman" w:eastAsia="宋体" w:hAnsi="Times New Roman" w:hint="eastAsia"/>
          <w:sz w:val="24"/>
        </w:rPr>
        <w:t>；</w:t>
      </w:r>
    </w:p>
    <w:p w14:paraId="39A2BF17" w14:textId="71B82E71" w:rsidR="00FC403D" w:rsidRPr="00FC403D" w:rsidRDefault="008116AB" w:rsidP="002066F0">
      <w:pPr>
        <w:spacing w:beforeLines="0" w:before="0" w:line="360" w:lineRule="auto"/>
        <w:rPr>
          <w:rFonts w:ascii="Times New Roman" w:eastAsia="宋体" w:hAnsi="Times New Roman"/>
          <w:sz w:val="24"/>
        </w:rPr>
      </w:pPr>
      <w:r>
        <w:rPr>
          <w:rFonts w:ascii="Times New Roman" w:eastAsia="宋体" w:hAnsi="Times New Roman" w:hint="eastAsia"/>
          <w:sz w:val="24"/>
        </w:rPr>
        <w:t>二．</w:t>
      </w:r>
      <w:r w:rsidR="00FC403D" w:rsidRPr="00FC403D">
        <w:rPr>
          <w:rFonts w:ascii="Times New Roman" w:eastAsia="宋体" w:hAnsi="Times New Roman" w:hint="eastAsia"/>
          <w:sz w:val="24"/>
        </w:rPr>
        <w:t>配置</w:t>
      </w:r>
    </w:p>
    <w:p w14:paraId="3520EE47" w14:textId="1CC236BC" w:rsidR="008E7EAE" w:rsidRDefault="00C66EE2" w:rsidP="00DA1A97">
      <w:pPr>
        <w:spacing w:beforeLines="0" w:before="0" w:line="360" w:lineRule="auto"/>
        <w:rPr>
          <w:rFonts w:ascii="Times New Roman" w:eastAsia="宋体" w:hAnsi="Times New Roman"/>
          <w:sz w:val="24"/>
        </w:rPr>
      </w:pPr>
      <w:r w:rsidRPr="00C66EE2">
        <w:rPr>
          <w:rFonts w:ascii="Times New Roman" w:eastAsia="宋体" w:hAnsi="Times New Roman" w:hint="eastAsia"/>
          <w:sz w:val="24"/>
        </w:rPr>
        <w:t>1</w:t>
      </w:r>
      <w:r w:rsidRPr="00C66EE2">
        <w:rPr>
          <w:rFonts w:ascii="Times New Roman" w:eastAsia="宋体" w:hAnsi="Times New Roman" w:hint="eastAsia"/>
          <w:sz w:val="24"/>
        </w:rPr>
        <w:t>、</w:t>
      </w:r>
      <w:r w:rsidR="006C4370" w:rsidRPr="006C4370">
        <w:rPr>
          <w:rFonts w:ascii="Times New Roman" w:eastAsia="宋体" w:hAnsi="Times New Roman" w:hint="eastAsia"/>
          <w:sz w:val="24"/>
        </w:rPr>
        <w:t>神经和肌肉刺激仪</w:t>
      </w:r>
      <w:r w:rsidR="006C4370">
        <w:rPr>
          <w:rFonts w:ascii="Times New Roman" w:eastAsia="宋体" w:hAnsi="Times New Roman" w:hint="eastAsia"/>
          <w:sz w:val="24"/>
        </w:rPr>
        <w:t>主机</w:t>
      </w:r>
      <w:r w:rsidR="00EC7588">
        <w:rPr>
          <w:rFonts w:ascii="Times New Roman" w:eastAsia="宋体" w:hAnsi="Times New Roman" w:hint="eastAsia"/>
          <w:sz w:val="24"/>
        </w:rPr>
        <w:t>1</w:t>
      </w:r>
      <w:r w:rsidR="00DA1A97" w:rsidRPr="00DA1A97">
        <w:rPr>
          <w:rFonts w:ascii="Times New Roman" w:eastAsia="宋体" w:hAnsi="Times New Roman" w:hint="eastAsia"/>
          <w:sz w:val="24"/>
        </w:rPr>
        <w:t>套</w:t>
      </w:r>
    </w:p>
    <w:p w14:paraId="3C9D6B30" w14:textId="1AE8227C" w:rsidR="00192E72" w:rsidRPr="00E76996" w:rsidRDefault="00192E72" w:rsidP="00DA1A97">
      <w:pPr>
        <w:spacing w:beforeLines="0" w:before="0" w:line="360" w:lineRule="auto"/>
        <w:rPr>
          <w:rFonts w:ascii="Times New Roman" w:eastAsia="宋体" w:hAnsi="Times New Roman" w:cs="宋体"/>
          <w:color w:val="000000"/>
          <w:kern w:val="0"/>
          <w:sz w:val="24"/>
        </w:rPr>
      </w:pPr>
      <w:r w:rsidRPr="00E76996">
        <w:rPr>
          <w:rFonts w:ascii="Times New Roman" w:eastAsia="宋体" w:hAnsi="Times New Roman" w:cs="宋体" w:hint="eastAsia"/>
          <w:color w:val="000000"/>
          <w:sz w:val="24"/>
        </w:rPr>
        <w:t>三、质保售后要求：</w:t>
      </w:r>
    </w:p>
    <w:p w14:paraId="7E25D60B"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提供整机原厂保修≥</w:t>
      </w:r>
      <w:r w:rsidRPr="00E76996">
        <w:rPr>
          <w:rFonts w:cs="宋体" w:hint="eastAsia"/>
        </w:rPr>
        <w:t>3</w:t>
      </w:r>
      <w:r w:rsidRPr="00E76996">
        <w:rPr>
          <w:rFonts w:cs="宋体" w:hint="eastAsia"/>
        </w:rPr>
        <w:t>年，保修期从本设备在验收合格后开始计算；保修期内非因用户的人为原因而出现产品质量及安装问题，需负责保修、包换或包退，并需承担因此而产生的一切费用，质保期内质检费用由厂家提供；</w:t>
      </w:r>
    </w:p>
    <w:p w14:paraId="0C915A63"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售后响应时间</w:t>
      </w:r>
      <w:r w:rsidRPr="00E76996">
        <w:rPr>
          <w:rFonts w:cs="宋体" w:hint="eastAsia"/>
        </w:rPr>
        <w:t>2</w:t>
      </w:r>
      <w:r w:rsidRPr="00E76996">
        <w:rPr>
          <w:rFonts w:cs="宋体" w:hint="eastAsia"/>
        </w:rPr>
        <w:t>小时内，</w:t>
      </w:r>
      <w:r w:rsidRPr="00E76996">
        <w:rPr>
          <w:rFonts w:cs="宋体" w:hint="eastAsia"/>
        </w:rPr>
        <w:t>24</w:t>
      </w:r>
      <w:r w:rsidRPr="00E76996">
        <w:rPr>
          <w:rFonts w:cs="宋体" w:hint="eastAsia"/>
        </w:rPr>
        <w:t>小时内到达地现场，</w:t>
      </w:r>
      <w:r w:rsidRPr="00E76996">
        <w:rPr>
          <w:rFonts w:cs="宋体" w:hint="eastAsia"/>
        </w:rPr>
        <w:t>48</w:t>
      </w:r>
      <w:r w:rsidRPr="00E76996">
        <w:rPr>
          <w:rFonts w:cs="宋体" w:hint="eastAsia"/>
        </w:rPr>
        <w:t>小时内解决问题，若未能及时修复故障时需提供等同设备替代以保证用户正常的医疗工作；</w:t>
      </w:r>
    </w:p>
    <w:p w14:paraId="3F453B24"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设备调试后，需免费对用户和维护人员进行现场培训，保证使用人员能够正确操作，使用设备的各种功能。</w:t>
      </w:r>
    </w:p>
    <w:p w14:paraId="5DFAB03D"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lastRenderedPageBreak/>
        <w:t>日常使用期间，即使无故障，厂方也能定期做机器的常规检查和整机保养，检测运行状态，及时发现隐患，使设备处于最佳使用状态；</w:t>
      </w:r>
    </w:p>
    <w:p w14:paraId="7547FE08"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在强检目录、检定目录、校准目录中的设备，中标人需提供计量检测报告才可验收。</w:t>
      </w:r>
    </w:p>
    <w:p w14:paraId="65E96B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承担连接医院现有信息端口费用。</w:t>
      </w:r>
    </w:p>
    <w:p w14:paraId="46E0EF7A"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货物及其配件为原厂商未启封全新包装，具出厂合格证，序列号、包箱号与出批号一致，并可追溯查阅。乙方应向甲方提供本合同所涉货物合法来源的证明。</w:t>
      </w:r>
    </w:p>
    <w:p w14:paraId="3E4FEC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54B9F2C9" w14:textId="77777777" w:rsidR="005047D9" w:rsidRPr="00E76996" w:rsidRDefault="005047D9" w:rsidP="00E76996">
      <w:pPr>
        <w:spacing w:beforeLines="0" w:before="0" w:line="360" w:lineRule="auto"/>
        <w:rPr>
          <w:rFonts w:ascii="Times New Roman" w:eastAsia="宋体" w:hAnsi="Times New Roman"/>
          <w:sz w:val="24"/>
        </w:rPr>
      </w:pPr>
    </w:p>
    <w:sectPr w:rsidR="005047D9" w:rsidRPr="00E769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72F4" w14:textId="77777777" w:rsidR="00C67AC6" w:rsidRDefault="00C67AC6">
      <w:pPr>
        <w:spacing w:before="120"/>
      </w:pPr>
      <w:r>
        <w:separator/>
      </w:r>
    </w:p>
  </w:endnote>
  <w:endnote w:type="continuationSeparator" w:id="0">
    <w:p w14:paraId="68AD5D4C" w14:textId="77777777" w:rsidR="00C67AC6" w:rsidRDefault="00C67AC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armonyOS Sans SC">
    <w:altName w:val="微软雅黑"/>
    <w:charset w:val="86"/>
    <w:family w:val="auto"/>
    <w:pitch w:val="default"/>
    <w:sig w:usb0="A00002BF" w:usb1="18E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EC1C" w14:textId="77777777" w:rsidR="00177355" w:rsidRDefault="00177355">
    <w:pPr>
      <w:pStyle w:val="aa"/>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BB1" w14:textId="77777777" w:rsidR="00177355" w:rsidRDefault="00177355">
    <w:pPr>
      <w:pStyle w:val="aa"/>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D36F" w14:textId="77777777" w:rsidR="00177355" w:rsidRDefault="00177355">
    <w:pPr>
      <w:pStyle w:val="aa"/>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292B" w14:textId="77777777" w:rsidR="00C67AC6" w:rsidRDefault="00C67AC6">
      <w:pPr>
        <w:spacing w:before="120"/>
      </w:pPr>
      <w:r>
        <w:separator/>
      </w:r>
    </w:p>
  </w:footnote>
  <w:footnote w:type="continuationSeparator" w:id="0">
    <w:p w14:paraId="60E0B785" w14:textId="77777777" w:rsidR="00C67AC6" w:rsidRDefault="00C67AC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545" w14:textId="77777777" w:rsidR="00177355" w:rsidRDefault="00177355">
    <w:pPr>
      <w:pStyle w:val="a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5D74" w14:textId="77777777" w:rsidR="00177355" w:rsidRPr="000B3A4F" w:rsidRDefault="00177355">
    <w:pPr>
      <w:pStyle w:val="a8"/>
      <w:spacing w:before="12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66D" w14:textId="77777777" w:rsidR="00177355" w:rsidRDefault="00177355">
    <w:pPr>
      <w:pStyle w:val="a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8BA781E"/>
    <w:multiLevelType w:val="singleLevel"/>
    <w:tmpl w:val="28BA781E"/>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3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yYzg0YTk2ZTQ2YTRkNjY1NzViZjc5YjM3NjBhMDgifQ=="/>
  </w:docVars>
  <w:rsids>
    <w:rsidRoot w:val="7973F73E"/>
    <w:rsid w:val="7973F73E"/>
    <w:rsid w:val="DEFFB318"/>
    <w:rsid w:val="F7BB7F03"/>
    <w:rsid w:val="FF9F7091"/>
    <w:rsid w:val="00053F99"/>
    <w:rsid w:val="000B3A4F"/>
    <w:rsid w:val="00177355"/>
    <w:rsid w:val="00192E72"/>
    <w:rsid w:val="002066F0"/>
    <w:rsid w:val="002435F8"/>
    <w:rsid w:val="003A37C0"/>
    <w:rsid w:val="003E55EB"/>
    <w:rsid w:val="00420F8E"/>
    <w:rsid w:val="00431DBB"/>
    <w:rsid w:val="005047D9"/>
    <w:rsid w:val="006C4370"/>
    <w:rsid w:val="008116AB"/>
    <w:rsid w:val="00825167"/>
    <w:rsid w:val="008B4146"/>
    <w:rsid w:val="008E7EAE"/>
    <w:rsid w:val="009A1EBF"/>
    <w:rsid w:val="009C132E"/>
    <w:rsid w:val="00AA001E"/>
    <w:rsid w:val="00AF1FBC"/>
    <w:rsid w:val="00B3339C"/>
    <w:rsid w:val="00BB513D"/>
    <w:rsid w:val="00C66EE2"/>
    <w:rsid w:val="00C67AC6"/>
    <w:rsid w:val="00D229A8"/>
    <w:rsid w:val="00D2592D"/>
    <w:rsid w:val="00D509FA"/>
    <w:rsid w:val="00DA1A97"/>
    <w:rsid w:val="00E71A05"/>
    <w:rsid w:val="00E76996"/>
    <w:rsid w:val="00EB029C"/>
    <w:rsid w:val="00EC7588"/>
    <w:rsid w:val="00F43467"/>
    <w:rsid w:val="00FC403D"/>
    <w:rsid w:val="0C4A3424"/>
    <w:rsid w:val="1053332C"/>
    <w:rsid w:val="16142219"/>
    <w:rsid w:val="19A07E7C"/>
    <w:rsid w:val="2A970D6C"/>
    <w:rsid w:val="2B2362C5"/>
    <w:rsid w:val="310F207D"/>
    <w:rsid w:val="32244DFC"/>
    <w:rsid w:val="39A64349"/>
    <w:rsid w:val="3EAF4AC6"/>
    <w:rsid w:val="42204EB5"/>
    <w:rsid w:val="50E172E9"/>
    <w:rsid w:val="59D14EF9"/>
    <w:rsid w:val="5E304E22"/>
    <w:rsid w:val="69747710"/>
    <w:rsid w:val="699B0F22"/>
    <w:rsid w:val="70311EB7"/>
    <w:rsid w:val="70BF3967"/>
    <w:rsid w:val="7973F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F34E5"/>
  <w15:docId w15:val="{ED4A17D2-045B-47CC-86E8-657C611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annotation text" w:qFormat="1"/>
    <w:lsdException w:name="caption" w:semiHidden="1" w:unhideWhenUsed="1" w:qFormat="1"/>
    <w:lsdException w:name="List Bullet"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beforeLines="50" w:before="50"/>
      <w:jc w:val="both"/>
    </w:pPr>
    <w:rPr>
      <w:rFonts w:eastAsia="HarmonyOS Sans SC"/>
      <w:kern w:val="2"/>
      <w:sz w:val="40"/>
      <w:szCs w:val="24"/>
    </w:rPr>
  </w:style>
  <w:style w:type="paragraph" w:styleId="1">
    <w:name w:val="heading 1"/>
    <w:basedOn w:val="a0"/>
    <w:next w:val="a0"/>
    <w:qFormat/>
    <w:pPr>
      <w:keepNext/>
      <w:keepLines/>
      <w:spacing w:beforeLines="100" w:before="100" w:afterLines="50" w:after="50"/>
      <w:outlineLvl w:val="0"/>
    </w:pPr>
    <w:rPr>
      <w:b/>
      <w:kern w:val="44"/>
      <w:sz w:val="64"/>
    </w:rPr>
  </w:style>
  <w:style w:type="paragraph" w:styleId="2">
    <w:name w:val="heading 2"/>
    <w:basedOn w:val="a0"/>
    <w:next w:val="a0"/>
    <w:unhideWhenUsed/>
    <w:qFormat/>
    <w:pPr>
      <w:keepNext/>
      <w:keepLines/>
      <w:adjustRightInd w:val="0"/>
      <w:outlineLvl w:val="1"/>
    </w:pPr>
    <w:rPr>
      <w:rFonts w:ascii="Arial" w:hAnsi="Arial"/>
      <w:b/>
      <w:sz w:val="56"/>
    </w:rPr>
  </w:style>
  <w:style w:type="paragraph" w:styleId="3">
    <w:name w:val="heading 3"/>
    <w:basedOn w:val="a0"/>
    <w:next w:val="a0"/>
    <w:unhideWhenUsed/>
    <w:qFormat/>
    <w:pPr>
      <w:keepNext/>
      <w:keepLines/>
      <w:outlineLvl w:val="2"/>
    </w:pPr>
    <w:rPr>
      <w:b/>
      <w:sz w:val="48"/>
    </w:rPr>
  </w:style>
  <w:style w:type="paragraph" w:styleId="4">
    <w:name w:val="heading 4"/>
    <w:basedOn w:val="a0"/>
    <w:next w:val="a0"/>
    <w:unhideWhenUsed/>
    <w:qFormat/>
    <w:pPr>
      <w:keepNext/>
      <w:keepLines/>
      <w:outlineLvl w:val="3"/>
    </w:pPr>
    <w:rPr>
      <w:rFonts w:ascii="Arial" w:hAnsi="Arial"/>
      <w:b/>
      <w:sz w:val="44"/>
    </w:rPr>
  </w:style>
  <w:style w:type="paragraph" w:styleId="5">
    <w:name w:val="heading 5"/>
    <w:basedOn w:val="a0"/>
    <w:next w:val="a0"/>
    <w:unhideWhenUsed/>
    <w:qFormat/>
    <w:pPr>
      <w:keepNext/>
      <w:keepLines/>
      <w:outlineLvl w:val="4"/>
    </w:pPr>
    <w:rPr>
      <w:b/>
    </w:rPr>
  </w:style>
  <w:style w:type="paragraph" w:styleId="6">
    <w:name w:val="heading 6"/>
    <w:basedOn w:val="a0"/>
    <w:next w:val="a0"/>
    <w:unhideWhenUsed/>
    <w:qFormat/>
    <w:pPr>
      <w:keepNext/>
      <w:keepLines/>
      <w:outlineLvl w:val="5"/>
    </w:pPr>
    <w:rPr>
      <w:rFonts w:ascii="Arial" w:hAnsi="Arial"/>
    </w:rPr>
  </w:style>
  <w:style w:type="paragraph" w:styleId="7">
    <w:name w:val="heading 7"/>
    <w:basedOn w:val="a0"/>
    <w:next w:val="a0"/>
    <w:unhideWhenUsed/>
    <w:qFormat/>
    <w:pPr>
      <w:keepNext/>
      <w:keepLines/>
      <w:outlineLvl w:val="6"/>
    </w:pPr>
    <w:rPr>
      <w:b/>
      <w:sz w:val="32"/>
    </w:rPr>
  </w:style>
  <w:style w:type="paragraph" w:styleId="8">
    <w:name w:val="heading 8"/>
    <w:basedOn w:val="a0"/>
    <w:next w:val="a0"/>
    <w:unhideWhenUsed/>
    <w:qFormat/>
    <w:pPr>
      <w:keepNext/>
      <w:keepLines/>
      <w:outlineLvl w:val="7"/>
    </w:pPr>
    <w:rPr>
      <w:rFonts w:ascii="Arial" w:hAnsi="Arial"/>
      <w:sz w:val="32"/>
    </w:rPr>
  </w:style>
  <w:style w:type="paragraph" w:styleId="9">
    <w:name w:val="heading 9"/>
    <w:basedOn w:val="a0"/>
    <w:next w:val="a0"/>
    <w:unhideWhenUsed/>
    <w:qFormat/>
    <w:pPr>
      <w:keepNext/>
      <w:keepLines/>
      <w:outlineLvl w:val="8"/>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rPr>
      <w:rFonts w:ascii="Arial" w:eastAsia="黑体" w:hAnsi="Arial"/>
      <w:sz w:val="20"/>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TOC3">
    <w:name w:val="toc 3"/>
    <w:basedOn w:val="a0"/>
    <w:next w:val="a0"/>
    <w:qFormat/>
    <w:pPr>
      <w:ind w:leftChars="400" w:left="840"/>
    </w:pPr>
  </w:style>
  <w:style w:type="paragraph" w:styleId="TOC1">
    <w:name w:val="toc 1"/>
    <w:basedOn w:val="a0"/>
    <w:next w:val="a0"/>
    <w:qFormat/>
  </w:style>
  <w:style w:type="paragraph" w:styleId="TOC2">
    <w:name w:val="toc 2"/>
    <w:basedOn w:val="a0"/>
    <w:next w:val="a0"/>
    <w:qFormat/>
    <w:pPr>
      <w:ind w:leftChars="200" w:left="420"/>
    </w:pPr>
  </w:style>
  <w:style w:type="character" w:styleId="a6">
    <w:name w:val="FollowedHyperlink"/>
    <w:basedOn w:val="a1"/>
    <w:qFormat/>
    <w:rPr>
      <w:color w:val="356DF6"/>
      <w:u w:val="single"/>
    </w:rPr>
  </w:style>
  <w:style w:type="character" w:styleId="a7">
    <w:name w:val="Hyperlink"/>
    <w:basedOn w:val="a1"/>
    <w:qFormat/>
    <w:rPr>
      <w:color w:val="356DF6"/>
      <w:u w:val="single"/>
    </w:rPr>
  </w:style>
  <w:style w:type="paragraph" w:styleId="a8">
    <w:name w:val="header"/>
    <w:basedOn w:val="a0"/>
    <w:link w:val="a9"/>
    <w:rsid w:val="00177355"/>
    <w:pPr>
      <w:pBdr>
        <w:bottom w:val="single" w:sz="6" w:space="1" w:color="auto"/>
      </w:pBdr>
      <w:tabs>
        <w:tab w:val="center" w:pos="4153"/>
        <w:tab w:val="right" w:pos="8306"/>
      </w:tabs>
      <w:jc w:val="center"/>
    </w:pPr>
    <w:rPr>
      <w:sz w:val="18"/>
      <w:szCs w:val="18"/>
    </w:rPr>
  </w:style>
  <w:style w:type="character" w:customStyle="1" w:styleId="a9">
    <w:name w:val="页眉 字符"/>
    <w:basedOn w:val="a1"/>
    <w:link w:val="a8"/>
    <w:rsid w:val="00177355"/>
    <w:rPr>
      <w:rFonts w:eastAsia="HarmonyOS Sans SC"/>
      <w:kern w:val="2"/>
      <w:sz w:val="18"/>
      <w:szCs w:val="18"/>
    </w:rPr>
  </w:style>
  <w:style w:type="paragraph" w:styleId="aa">
    <w:name w:val="footer"/>
    <w:basedOn w:val="a0"/>
    <w:link w:val="ab"/>
    <w:rsid w:val="00177355"/>
    <w:pPr>
      <w:tabs>
        <w:tab w:val="center" w:pos="4153"/>
        <w:tab w:val="right" w:pos="8306"/>
      </w:tabs>
      <w:jc w:val="left"/>
    </w:pPr>
    <w:rPr>
      <w:sz w:val="18"/>
      <w:szCs w:val="18"/>
    </w:rPr>
  </w:style>
  <w:style w:type="character" w:customStyle="1" w:styleId="ab">
    <w:name w:val="页脚 字符"/>
    <w:basedOn w:val="a1"/>
    <w:link w:val="aa"/>
    <w:rsid w:val="00177355"/>
    <w:rPr>
      <w:rFonts w:eastAsia="HarmonyOS Sans SC"/>
      <w:kern w:val="2"/>
      <w:sz w:val="18"/>
      <w:szCs w:val="18"/>
    </w:rPr>
  </w:style>
  <w:style w:type="table" w:styleId="ac">
    <w:name w:val="Table Grid"/>
    <w:basedOn w:val="a2"/>
    <w:uiPriority w:val="99"/>
    <w:unhideWhenUsed/>
    <w:qFormat/>
    <w:rsid w:val="0050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99"/>
    <w:qFormat/>
    <w:rsid w:val="00192E72"/>
    <w:pPr>
      <w:widowControl/>
      <w:snapToGrid/>
      <w:spacing w:beforeLines="0" w:before="0"/>
      <w:ind w:firstLineChars="200" w:firstLine="42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卢 裕能</cp:lastModifiedBy>
  <cp:revision>8</cp:revision>
  <dcterms:created xsi:type="dcterms:W3CDTF">2025-04-11T16:36:00Z</dcterms:created>
  <dcterms:modified xsi:type="dcterms:W3CDTF">2025-06-22T10:15:00Z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2052-12.9.0.20741</vt:lpwstr>
  </property>
  <property fmtid="{D5CDD505-2E9C-101B-9397-08002B2CF9AE}" pid="3" name="ICV">
    <vt:lpwstr>5DAAF08C7CBA4368DAD5F867C16B0ED4_43</vt:lpwstr>
  </property>
</Properties>
</file>