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EA2FF">
      <w:pPr>
        <w:pStyle w:val="8"/>
        <w:spacing w:before="0" w:after="0"/>
        <w:rPr>
          <w:rFonts w:ascii="宋体" w:hAnsi="宋体"/>
          <w:kern w:val="0"/>
          <w:lang w:val="zh-CN"/>
        </w:rPr>
      </w:pPr>
      <w:r>
        <w:rPr>
          <w:rFonts w:hint="eastAsia" w:ascii="宋体" w:hAnsi="宋体"/>
          <w:kern w:val="0"/>
          <w:lang w:val="zh-CN"/>
        </w:rPr>
        <w:t>用户需求书</w:t>
      </w:r>
    </w:p>
    <w:p w14:paraId="168A0235">
      <w:pPr>
        <w:snapToGrid w:val="0"/>
        <w:spacing w:line="360" w:lineRule="auto"/>
        <w:rPr>
          <w:rFonts w:ascii="宋体" w:hAnsi="宋体"/>
          <w:b/>
          <w:bCs/>
          <w:szCs w:val="21"/>
        </w:rPr>
      </w:pPr>
    </w:p>
    <w:p w14:paraId="466AAEE9">
      <w:pPr>
        <w:pStyle w:val="6"/>
        <w:numPr>
          <w:ilvl w:val="0"/>
          <w:numId w:val="1"/>
        </w:numPr>
        <w:tabs>
          <w:tab w:val="left" w:pos="540"/>
        </w:tabs>
        <w:adjustRightInd w:val="0"/>
        <w:snapToGrid w:val="0"/>
        <w:spacing w:line="360" w:lineRule="auto"/>
        <w:rPr>
          <w:rFonts w:hAnsi="宋体"/>
          <w:b/>
          <w:bCs/>
          <w:sz w:val="21"/>
        </w:rPr>
      </w:pPr>
      <w:r>
        <w:rPr>
          <w:rFonts w:hint="eastAsia" w:hAnsi="宋体"/>
          <w:b/>
          <w:bCs/>
          <w:sz w:val="21"/>
        </w:rPr>
        <w:t>项目一览表</w:t>
      </w:r>
    </w:p>
    <w:p w14:paraId="57059003">
      <w:pPr>
        <w:pStyle w:val="6"/>
        <w:tabs>
          <w:tab w:val="left" w:pos="420"/>
          <w:tab w:val="left" w:pos="540"/>
        </w:tabs>
        <w:adjustRightInd w:val="0"/>
        <w:snapToGrid w:val="0"/>
        <w:spacing w:line="360" w:lineRule="auto"/>
        <w:rPr>
          <w:rFonts w:hAnsi="宋体"/>
          <w:bCs/>
          <w:sz w:val="21"/>
        </w:rPr>
      </w:pPr>
      <w:r>
        <w:rPr>
          <w:rFonts w:hint="eastAsia" w:hAnsi="宋体"/>
          <w:bCs/>
          <w:sz w:val="21"/>
        </w:rPr>
        <w:t>项目名称：珠海市中西医结合医院</w:t>
      </w:r>
      <w:r>
        <w:rPr>
          <w:rStyle w:val="12"/>
          <w:rFonts w:hint="eastAsia" w:ascii="Calibri" w:hAnsi="Calibri" w:cs="宋体"/>
          <w:kern w:val="2"/>
        </w:rPr>
        <w:t>教育管理系统采购项目</w:t>
      </w:r>
    </w:p>
    <w:tbl>
      <w:tblPr>
        <w:tblStyle w:val="10"/>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0"/>
        <w:gridCol w:w="755"/>
        <w:gridCol w:w="3694"/>
        <w:gridCol w:w="2032"/>
      </w:tblGrid>
      <w:tr w14:paraId="37A5A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2450" w:type="dxa"/>
            <w:shd w:val="clear" w:color="auto" w:fill="EEECE1"/>
            <w:vAlign w:val="center"/>
          </w:tcPr>
          <w:p w14:paraId="5FFB8267">
            <w:pPr>
              <w:jc w:val="center"/>
              <w:rPr>
                <w:rFonts w:ascii="宋体" w:hAnsi="宋体" w:cs="Times New Roman"/>
                <w:b/>
                <w:szCs w:val="21"/>
              </w:rPr>
            </w:pPr>
            <w:r>
              <w:rPr>
                <w:rFonts w:hint="eastAsia" w:ascii="宋体" w:hAnsi="宋体" w:cs="Times New Roman"/>
                <w:b/>
                <w:szCs w:val="21"/>
              </w:rPr>
              <w:t>采购内容</w:t>
            </w:r>
          </w:p>
        </w:tc>
        <w:tc>
          <w:tcPr>
            <w:tcW w:w="755" w:type="dxa"/>
            <w:shd w:val="clear" w:color="auto" w:fill="EEECE1"/>
            <w:vAlign w:val="center"/>
          </w:tcPr>
          <w:p w14:paraId="3D0CD02A">
            <w:pPr>
              <w:jc w:val="center"/>
              <w:rPr>
                <w:rFonts w:ascii="宋体" w:hAnsi="宋体" w:cs="Times New Roman"/>
                <w:b/>
                <w:szCs w:val="21"/>
              </w:rPr>
            </w:pPr>
            <w:r>
              <w:rPr>
                <w:rFonts w:hint="eastAsia" w:ascii="宋体" w:hAnsi="宋体" w:cs="Times New Roman"/>
                <w:b/>
                <w:szCs w:val="21"/>
              </w:rPr>
              <w:t>数量</w:t>
            </w:r>
          </w:p>
        </w:tc>
        <w:tc>
          <w:tcPr>
            <w:tcW w:w="3694" w:type="dxa"/>
            <w:shd w:val="clear" w:color="auto" w:fill="EEECE1"/>
            <w:vAlign w:val="center"/>
          </w:tcPr>
          <w:p w14:paraId="457CAE49">
            <w:pPr>
              <w:jc w:val="center"/>
              <w:rPr>
                <w:rFonts w:ascii="宋体" w:hAnsi="宋体" w:cs="Times New Roman"/>
                <w:b/>
                <w:szCs w:val="21"/>
              </w:rPr>
            </w:pPr>
            <w:r>
              <w:rPr>
                <w:rFonts w:hint="eastAsia" w:ascii="宋体" w:hAnsi="宋体" w:cs="Times New Roman"/>
                <w:b/>
                <w:szCs w:val="21"/>
              </w:rPr>
              <w:t>交付期</w:t>
            </w:r>
          </w:p>
        </w:tc>
        <w:tc>
          <w:tcPr>
            <w:tcW w:w="2032" w:type="dxa"/>
            <w:shd w:val="clear" w:color="auto" w:fill="EEECE1"/>
            <w:vAlign w:val="center"/>
          </w:tcPr>
          <w:p w14:paraId="19B23637">
            <w:pPr>
              <w:jc w:val="center"/>
              <w:rPr>
                <w:rFonts w:ascii="宋体" w:hAnsi="宋体" w:cs="Times New Roman"/>
                <w:b/>
                <w:szCs w:val="21"/>
              </w:rPr>
            </w:pPr>
            <w:r>
              <w:rPr>
                <w:rFonts w:hint="eastAsia" w:ascii="宋体" w:hAnsi="宋体" w:cs="Times New Roman"/>
                <w:b/>
                <w:szCs w:val="21"/>
              </w:rPr>
              <w:t>预算价</w:t>
            </w:r>
          </w:p>
        </w:tc>
      </w:tr>
      <w:tr w14:paraId="4BBC8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2450" w:type="dxa"/>
            <w:vAlign w:val="center"/>
          </w:tcPr>
          <w:p w14:paraId="3F441F85">
            <w:pPr>
              <w:pStyle w:val="6"/>
              <w:tabs>
                <w:tab w:val="left" w:pos="420"/>
                <w:tab w:val="left" w:pos="540"/>
              </w:tabs>
              <w:adjustRightInd w:val="0"/>
              <w:snapToGrid w:val="0"/>
              <w:spacing w:line="360" w:lineRule="auto"/>
              <w:rPr>
                <w:rFonts w:hAnsi="宋体"/>
                <w:bCs/>
                <w:sz w:val="21"/>
              </w:rPr>
            </w:pPr>
            <w:r>
              <w:rPr>
                <w:rFonts w:hint="eastAsia" w:hAnsi="宋体"/>
                <w:bCs/>
                <w:sz w:val="21"/>
              </w:rPr>
              <w:t>珠海市中西医结合医院</w:t>
            </w:r>
            <w:r>
              <w:rPr>
                <w:rStyle w:val="12"/>
                <w:rFonts w:hint="eastAsia" w:ascii="Calibri" w:hAnsi="Calibri" w:cs="宋体"/>
                <w:kern w:val="2"/>
              </w:rPr>
              <w:t>教育管理系统</w:t>
            </w:r>
          </w:p>
        </w:tc>
        <w:tc>
          <w:tcPr>
            <w:tcW w:w="755" w:type="dxa"/>
            <w:vAlign w:val="center"/>
          </w:tcPr>
          <w:p w14:paraId="4E0E4F67">
            <w:pPr>
              <w:jc w:val="center"/>
              <w:rPr>
                <w:rFonts w:ascii="宋体" w:hAnsi="宋体" w:cs="Times New Roman"/>
                <w:bCs/>
                <w:szCs w:val="21"/>
              </w:rPr>
            </w:pPr>
            <w:r>
              <w:rPr>
                <w:rFonts w:ascii="宋体" w:hAnsi="宋体" w:cs="Times New Roman"/>
                <w:bCs/>
                <w:szCs w:val="21"/>
              </w:rPr>
              <w:t>1</w:t>
            </w:r>
            <w:r>
              <w:rPr>
                <w:rFonts w:hint="eastAsia" w:ascii="宋体" w:hAnsi="宋体" w:cs="Times New Roman"/>
                <w:bCs/>
                <w:szCs w:val="21"/>
              </w:rPr>
              <w:t>项</w:t>
            </w:r>
          </w:p>
        </w:tc>
        <w:tc>
          <w:tcPr>
            <w:tcW w:w="3694" w:type="dxa"/>
            <w:vAlign w:val="center"/>
          </w:tcPr>
          <w:p w14:paraId="761CC16F">
            <w:pPr>
              <w:keepNext/>
              <w:adjustRightInd w:val="0"/>
              <w:spacing w:before="60" w:after="60"/>
              <w:textAlignment w:val="center"/>
              <w:rPr>
                <w:rFonts w:ascii="宋体" w:hAnsi="宋体" w:cs="Times New Roman"/>
                <w:szCs w:val="24"/>
              </w:rPr>
            </w:pPr>
            <w:r>
              <w:rPr>
                <w:rFonts w:hint="eastAsia" w:ascii="宋体" w:hAnsi="宋体"/>
                <w:szCs w:val="24"/>
              </w:rPr>
              <w:t>签订</w:t>
            </w:r>
            <w:bookmarkStart w:id="0" w:name="OLE_LINK27"/>
            <w:bookmarkStart w:id="1" w:name="OLE_LINK26"/>
            <w:r>
              <w:rPr>
                <w:rFonts w:hint="eastAsia" w:ascii="宋体" w:hAnsi="宋体"/>
                <w:szCs w:val="24"/>
              </w:rPr>
              <w:t>合同后</w:t>
            </w:r>
            <w:r>
              <w:rPr>
                <w:rFonts w:ascii="宋体" w:hAnsi="宋体"/>
                <w:szCs w:val="24"/>
              </w:rPr>
              <w:t>30</w:t>
            </w:r>
            <w:r>
              <w:rPr>
                <w:rFonts w:hint="eastAsia" w:ascii="宋体" w:hAnsi="宋体"/>
                <w:szCs w:val="24"/>
              </w:rPr>
              <w:t>天（日</w:t>
            </w:r>
            <w:bookmarkEnd w:id="0"/>
            <w:bookmarkEnd w:id="1"/>
            <w:r>
              <w:rPr>
                <w:rFonts w:hint="eastAsia" w:ascii="宋体" w:hAnsi="宋体"/>
                <w:szCs w:val="24"/>
              </w:rPr>
              <w:t>历日）内完成系统功能/用户账号交付。</w:t>
            </w:r>
          </w:p>
        </w:tc>
        <w:tc>
          <w:tcPr>
            <w:tcW w:w="2032" w:type="dxa"/>
            <w:vAlign w:val="center"/>
          </w:tcPr>
          <w:p w14:paraId="781133D1">
            <w:pPr>
              <w:keepNext/>
              <w:adjustRightInd w:val="0"/>
              <w:spacing w:before="60" w:after="60"/>
              <w:textAlignment w:val="center"/>
              <w:rPr>
                <w:rFonts w:ascii="宋体" w:hAnsi="宋体" w:cs="Times New Roman"/>
                <w:szCs w:val="24"/>
              </w:rPr>
            </w:pPr>
            <w:r>
              <w:rPr>
                <w:rFonts w:hint="eastAsia" w:ascii="宋体" w:hAnsi="宋体" w:cs="Times New Roman"/>
                <w:szCs w:val="24"/>
              </w:rPr>
              <w:t>8.8万元/年，期限3年，总预算26.4万元。</w:t>
            </w:r>
          </w:p>
        </w:tc>
      </w:tr>
    </w:tbl>
    <w:p w14:paraId="074A4550">
      <w:pPr>
        <w:pStyle w:val="6"/>
        <w:tabs>
          <w:tab w:val="left" w:pos="420"/>
          <w:tab w:val="left" w:pos="540"/>
        </w:tabs>
        <w:adjustRightInd w:val="0"/>
        <w:snapToGrid w:val="0"/>
        <w:spacing w:line="360" w:lineRule="auto"/>
        <w:rPr>
          <w:rFonts w:hAnsi="宋体"/>
          <w:b/>
          <w:bCs/>
          <w:sz w:val="21"/>
        </w:rPr>
      </w:pPr>
    </w:p>
    <w:p w14:paraId="0D03E36A">
      <w:pPr>
        <w:pStyle w:val="6"/>
        <w:numPr>
          <w:ilvl w:val="0"/>
          <w:numId w:val="1"/>
        </w:numPr>
        <w:tabs>
          <w:tab w:val="left" w:pos="540"/>
        </w:tabs>
        <w:adjustRightInd w:val="0"/>
        <w:snapToGrid w:val="0"/>
        <w:spacing w:line="360" w:lineRule="auto"/>
        <w:rPr>
          <w:rFonts w:hAnsi="宋体"/>
          <w:b/>
          <w:bCs/>
          <w:sz w:val="21"/>
        </w:rPr>
      </w:pPr>
      <w:r>
        <w:rPr>
          <w:rFonts w:hint="eastAsia" w:hAnsi="宋体"/>
          <w:b/>
          <w:bCs/>
          <w:sz w:val="21"/>
        </w:rPr>
        <w:t>项目基本概况</w:t>
      </w:r>
    </w:p>
    <w:p w14:paraId="3AD907ED">
      <w:pPr>
        <w:pStyle w:val="6"/>
        <w:tabs>
          <w:tab w:val="left" w:pos="540"/>
        </w:tabs>
        <w:adjustRightInd w:val="0"/>
        <w:snapToGrid w:val="0"/>
        <w:spacing w:line="360" w:lineRule="auto"/>
        <w:ind w:firstLine="420" w:firstLineChars="200"/>
        <w:rPr>
          <w:rFonts w:hAnsi="宋体"/>
          <w:bCs/>
          <w:sz w:val="21"/>
        </w:rPr>
      </w:pPr>
      <w:r>
        <w:rPr>
          <w:rFonts w:hint="eastAsia" w:hAnsi="宋体"/>
          <w:bCs/>
          <w:sz w:val="21"/>
        </w:rPr>
        <w:t>根据《中共中央国务院关于深化医药卫生体制改革的意见》（中发〔2009〕6号）和《国家中长期人才发展规划纲（2010-2020年）》文件要求，以及《国务院办公厅关于深化医教协同进一步推进医学教育改革与发展的意见》国办发〔2017〕63号的指导意见，以集约化的建设方式整合全院培训资源，建立标准统一、时限统一、内容统一、方式统一、管理统一的培训信息管理系统，强化培训管理、确保培训质量、提高培训效率和达到培训效果。</w:t>
      </w:r>
    </w:p>
    <w:p w14:paraId="02831A54">
      <w:pPr>
        <w:pStyle w:val="6"/>
        <w:tabs>
          <w:tab w:val="left" w:pos="540"/>
        </w:tabs>
        <w:adjustRightInd w:val="0"/>
        <w:snapToGrid w:val="0"/>
        <w:spacing w:line="360" w:lineRule="auto"/>
        <w:ind w:firstLine="420" w:firstLineChars="200"/>
        <w:rPr>
          <w:rFonts w:hAnsi="宋体"/>
          <w:bCs/>
          <w:sz w:val="21"/>
        </w:rPr>
      </w:pPr>
      <w:r>
        <w:rPr>
          <w:rFonts w:hint="eastAsia" w:hAnsi="宋体"/>
          <w:bCs/>
          <w:sz w:val="21"/>
        </w:rPr>
        <w:t>在新医改政策驱动下，全国开展了医学本科生、实习生、研究生、住院医生等学员的规范化培训工作。为贯彻国家精神，有序的开展各类学员的规范培训，需要不断强化教学过程管理，同时需要提高临床技能培训管理质量。如何正确、有效地将信息化技术应用到教学管理和教学实施工作中来，促进医学教育的发展，满足病患需求，积极推动学院型医院建设，越来越受到医疗管理与医学教育部门的重视，目前已成为各大医院校探索和努力的重要方向。</w:t>
      </w:r>
    </w:p>
    <w:p w14:paraId="21EAFF58">
      <w:pPr>
        <w:pStyle w:val="6"/>
        <w:tabs>
          <w:tab w:val="left" w:pos="540"/>
        </w:tabs>
        <w:adjustRightInd w:val="0"/>
        <w:snapToGrid w:val="0"/>
        <w:spacing w:line="360" w:lineRule="auto"/>
        <w:ind w:firstLine="420" w:firstLineChars="200"/>
        <w:rPr>
          <w:rFonts w:hAnsi="宋体"/>
          <w:bCs/>
          <w:sz w:val="21"/>
        </w:rPr>
      </w:pPr>
      <w:r>
        <w:rPr>
          <w:rFonts w:hint="eastAsia" w:hAnsi="宋体"/>
          <w:bCs/>
          <w:sz w:val="21"/>
        </w:rPr>
        <w:t>在全院医护人员的不懈努力下，我院近年来在医、教、研各方面均获得长足的发展；根据医院规范化教学管理需要，建设一站式多生（医技药实习、护理实习、护理教育培训、三基考核、进修培训、基层跟师）融合的教育管理系统，提升各个环节相关教学人员的工作效能，提升教学管理效率和教学实施的便捷性，将传统的纯人工管理方式升级为以信息系统管理为主，人工管理为辅的科学管理方式，弥补我院智慧医院建设体系中教学版块信息系统缺失的空白，同时更好的支持我院各类评审认证工作的顺利实施。</w:t>
      </w:r>
    </w:p>
    <w:p w14:paraId="796D2D7B">
      <w:pPr>
        <w:pStyle w:val="6"/>
        <w:tabs>
          <w:tab w:val="left" w:pos="540"/>
        </w:tabs>
        <w:adjustRightInd w:val="0"/>
        <w:snapToGrid w:val="0"/>
        <w:spacing w:line="360" w:lineRule="auto"/>
        <w:ind w:firstLine="420" w:firstLineChars="200"/>
        <w:rPr>
          <w:rFonts w:hAnsi="宋体"/>
          <w:bCs/>
          <w:color w:val="FF0000"/>
          <w:sz w:val="21"/>
        </w:rPr>
      </w:pPr>
    </w:p>
    <w:p w14:paraId="255A003C">
      <w:pPr>
        <w:pStyle w:val="6"/>
        <w:numPr>
          <w:ilvl w:val="0"/>
          <w:numId w:val="1"/>
        </w:numPr>
        <w:tabs>
          <w:tab w:val="left" w:pos="540"/>
        </w:tabs>
        <w:adjustRightInd w:val="0"/>
        <w:snapToGrid w:val="0"/>
        <w:spacing w:line="360" w:lineRule="auto"/>
        <w:rPr>
          <w:rFonts w:hAnsi="宋体"/>
          <w:b/>
          <w:bCs/>
          <w:sz w:val="21"/>
        </w:rPr>
      </w:pPr>
      <w:r>
        <w:rPr>
          <w:rFonts w:hint="eastAsia" w:hAnsi="宋体"/>
          <w:b/>
          <w:bCs/>
          <w:sz w:val="21"/>
        </w:rPr>
        <w:t>项目采购清单：</w:t>
      </w:r>
    </w:p>
    <w:tbl>
      <w:tblPr>
        <w:tblStyle w:val="10"/>
        <w:tblW w:w="8819" w:type="dxa"/>
        <w:tblInd w:w="78" w:type="dxa"/>
        <w:tblLayout w:type="fixed"/>
        <w:tblCellMar>
          <w:top w:w="0" w:type="dxa"/>
          <w:left w:w="108" w:type="dxa"/>
          <w:bottom w:w="0" w:type="dxa"/>
          <w:right w:w="108" w:type="dxa"/>
        </w:tblCellMar>
      </w:tblPr>
      <w:tblGrid>
        <w:gridCol w:w="739"/>
        <w:gridCol w:w="1134"/>
        <w:gridCol w:w="142"/>
        <w:gridCol w:w="4252"/>
        <w:gridCol w:w="709"/>
        <w:gridCol w:w="709"/>
        <w:gridCol w:w="1134"/>
      </w:tblGrid>
      <w:tr w14:paraId="7EBFE57E">
        <w:tblPrEx>
          <w:tblCellMar>
            <w:top w:w="0" w:type="dxa"/>
            <w:left w:w="108" w:type="dxa"/>
            <w:bottom w:w="0" w:type="dxa"/>
            <w:right w:w="108" w:type="dxa"/>
          </w:tblCellMar>
        </w:tblPrEx>
        <w:tc>
          <w:tcPr>
            <w:tcW w:w="8819" w:type="dxa"/>
            <w:gridSpan w:val="7"/>
            <w:tcBorders>
              <w:top w:val="single" w:color="auto" w:sz="12" w:space="0"/>
              <w:left w:val="single" w:color="auto" w:sz="12" w:space="0"/>
              <w:bottom w:val="single" w:color="auto" w:sz="6" w:space="0"/>
              <w:right w:val="single" w:color="auto" w:sz="12" w:space="0"/>
            </w:tcBorders>
            <w:shd w:val="solid" w:color="FFFFFF" w:fill="auto"/>
          </w:tcPr>
          <w:p w14:paraId="14ED5364">
            <w:pPr>
              <w:autoSpaceDE w:val="0"/>
              <w:autoSpaceDN w:val="0"/>
              <w:adjustRightInd w:val="0"/>
              <w:jc w:val="left"/>
              <w:rPr>
                <w:rFonts w:ascii="宋体" w:hAnsi="宋体"/>
                <w:b/>
                <w:bCs/>
                <w:color w:val="000000"/>
                <w:kern w:val="0"/>
                <w:szCs w:val="21"/>
              </w:rPr>
            </w:pPr>
            <w:r>
              <w:rPr>
                <w:rFonts w:hint="eastAsia" w:ascii="宋体" w:hAnsi="宋体"/>
                <w:b/>
                <w:bCs/>
                <w:color w:val="000000"/>
                <w:kern w:val="0"/>
                <w:szCs w:val="21"/>
              </w:rPr>
              <w:t>项目名称：</w:t>
            </w:r>
            <w:r>
              <w:rPr>
                <w:rFonts w:hint="eastAsia" w:ascii="宋体" w:hAnsi="宋体" w:cs="Times New Roman"/>
                <w:bCs/>
                <w:szCs w:val="21"/>
              </w:rPr>
              <w:t>珠海市中西医结合医院</w:t>
            </w:r>
            <w:r>
              <w:rPr>
                <w:rFonts w:hint="eastAsia" w:hAnsi="宋体"/>
                <w:bCs/>
              </w:rPr>
              <w:t>教育</w:t>
            </w:r>
            <w:r>
              <w:rPr>
                <w:rFonts w:hint="eastAsia" w:ascii="宋体" w:hAnsi="宋体" w:cs="Times New Roman"/>
                <w:bCs/>
                <w:szCs w:val="21"/>
              </w:rPr>
              <w:t>管理系统采购项目</w:t>
            </w:r>
          </w:p>
        </w:tc>
      </w:tr>
      <w:tr w14:paraId="4D6A2BCF">
        <w:tblPrEx>
          <w:tblCellMar>
            <w:top w:w="0" w:type="dxa"/>
            <w:left w:w="108" w:type="dxa"/>
            <w:bottom w:w="0" w:type="dxa"/>
            <w:right w:w="108" w:type="dxa"/>
          </w:tblCellMar>
        </w:tblPrEx>
        <w:tc>
          <w:tcPr>
            <w:tcW w:w="8819" w:type="dxa"/>
            <w:gridSpan w:val="7"/>
            <w:tcBorders>
              <w:top w:val="single" w:color="auto" w:sz="6" w:space="0"/>
              <w:left w:val="single" w:color="auto" w:sz="12" w:space="0"/>
              <w:bottom w:val="single" w:color="auto" w:sz="6" w:space="0"/>
              <w:right w:val="single" w:color="auto" w:sz="12" w:space="0"/>
            </w:tcBorders>
            <w:shd w:val="solid" w:color="FFFFFF" w:fill="auto"/>
          </w:tcPr>
          <w:p w14:paraId="6AF1AD8F">
            <w:pPr>
              <w:autoSpaceDE w:val="0"/>
              <w:autoSpaceDN w:val="0"/>
              <w:adjustRightInd w:val="0"/>
              <w:jc w:val="left"/>
              <w:rPr>
                <w:rFonts w:ascii="宋体" w:hAnsi="宋体"/>
                <w:b/>
                <w:bCs/>
                <w:color w:val="000000"/>
                <w:kern w:val="0"/>
                <w:szCs w:val="21"/>
              </w:rPr>
            </w:pPr>
            <w:r>
              <w:rPr>
                <w:rFonts w:hint="eastAsia" w:ascii="宋体" w:hAnsi="宋体"/>
                <w:b/>
                <w:bCs/>
                <w:color w:val="000000"/>
                <w:kern w:val="0"/>
                <w:szCs w:val="21"/>
              </w:rPr>
              <w:t>一、系统功能服务</w:t>
            </w:r>
          </w:p>
        </w:tc>
      </w:tr>
      <w:tr w14:paraId="1990BFD1">
        <w:tblPrEx>
          <w:tblCellMar>
            <w:top w:w="0" w:type="dxa"/>
            <w:left w:w="108" w:type="dxa"/>
            <w:bottom w:w="0" w:type="dxa"/>
            <w:right w:w="108" w:type="dxa"/>
          </w:tblCellMar>
        </w:tblPrEx>
        <w:tc>
          <w:tcPr>
            <w:tcW w:w="739" w:type="dxa"/>
            <w:tcBorders>
              <w:top w:val="single" w:color="auto" w:sz="6" w:space="0"/>
              <w:left w:val="single" w:color="auto" w:sz="12" w:space="0"/>
              <w:bottom w:val="single" w:color="auto" w:sz="6" w:space="0"/>
              <w:right w:val="single" w:color="auto" w:sz="6" w:space="0"/>
            </w:tcBorders>
            <w:shd w:val="solid" w:color="FFFFFF" w:fill="auto"/>
          </w:tcPr>
          <w:p w14:paraId="038AC65D">
            <w:pPr>
              <w:autoSpaceDE w:val="0"/>
              <w:autoSpaceDN w:val="0"/>
              <w:adjustRightInd w:val="0"/>
              <w:jc w:val="center"/>
              <w:rPr>
                <w:rFonts w:ascii="宋体" w:hAnsi="宋体"/>
                <w:b/>
                <w:bCs/>
                <w:color w:val="000000"/>
                <w:kern w:val="0"/>
                <w:szCs w:val="21"/>
              </w:rPr>
            </w:pPr>
            <w:r>
              <w:rPr>
                <w:rFonts w:hint="eastAsia" w:ascii="宋体" w:hAnsi="宋体"/>
                <w:b/>
                <w:bCs/>
                <w:color w:val="000000"/>
                <w:kern w:val="0"/>
                <w:szCs w:val="21"/>
              </w:rPr>
              <w:t>序号</w:t>
            </w:r>
          </w:p>
        </w:tc>
        <w:tc>
          <w:tcPr>
            <w:tcW w:w="1134" w:type="dxa"/>
            <w:tcBorders>
              <w:top w:val="single" w:color="auto" w:sz="6" w:space="0"/>
              <w:left w:val="single" w:color="auto" w:sz="6" w:space="0"/>
              <w:bottom w:val="single" w:color="auto" w:sz="6" w:space="0"/>
              <w:right w:val="single" w:color="auto" w:sz="6" w:space="0"/>
            </w:tcBorders>
            <w:shd w:val="solid" w:color="FFFFFF" w:fill="auto"/>
          </w:tcPr>
          <w:p w14:paraId="0F3C1CED">
            <w:pPr>
              <w:autoSpaceDE w:val="0"/>
              <w:autoSpaceDN w:val="0"/>
              <w:adjustRightInd w:val="0"/>
              <w:jc w:val="left"/>
              <w:rPr>
                <w:rFonts w:ascii="宋体" w:hAnsi="宋体"/>
                <w:b/>
                <w:bCs/>
                <w:color w:val="000000"/>
                <w:kern w:val="0"/>
                <w:szCs w:val="21"/>
              </w:rPr>
            </w:pPr>
            <w:r>
              <w:rPr>
                <w:rFonts w:hint="eastAsia" w:ascii="宋体" w:hAnsi="宋体"/>
                <w:b/>
                <w:bCs/>
                <w:color w:val="000000"/>
                <w:kern w:val="0"/>
                <w:szCs w:val="21"/>
              </w:rPr>
              <w:t>分项名称</w:t>
            </w:r>
          </w:p>
        </w:tc>
        <w:tc>
          <w:tcPr>
            <w:tcW w:w="4394" w:type="dxa"/>
            <w:gridSpan w:val="2"/>
            <w:tcBorders>
              <w:top w:val="single" w:color="auto" w:sz="6" w:space="0"/>
              <w:left w:val="single" w:color="auto" w:sz="6" w:space="0"/>
              <w:bottom w:val="single" w:color="auto" w:sz="6" w:space="0"/>
              <w:right w:val="single" w:color="auto" w:sz="6" w:space="0"/>
            </w:tcBorders>
            <w:shd w:val="solid" w:color="FFFFFF" w:fill="auto"/>
          </w:tcPr>
          <w:p w14:paraId="67A57128">
            <w:pPr>
              <w:autoSpaceDE w:val="0"/>
              <w:autoSpaceDN w:val="0"/>
              <w:adjustRightInd w:val="0"/>
              <w:jc w:val="left"/>
              <w:rPr>
                <w:rFonts w:ascii="宋体" w:hAnsi="宋体"/>
                <w:b/>
                <w:bCs/>
                <w:color w:val="000000"/>
                <w:kern w:val="0"/>
                <w:szCs w:val="21"/>
              </w:rPr>
            </w:pPr>
            <w:r>
              <w:rPr>
                <w:rFonts w:hint="eastAsia" w:ascii="宋体" w:hAnsi="宋体"/>
                <w:b/>
                <w:bCs/>
                <w:color w:val="000000"/>
                <w:kern w:val="0"/>
                <w:szCs w:val="21"/>
              </w:rPr>
              <w:t>具体服务内容</w:t>
            </w:r>
          </w:p>
        </w:tc>
        <w:tc>
          <w:tcPr>
            <w:tcW w:w="709" w:type="dxa"/>
            <w:tcBorders>
              <w:top w:val="single" w:color="auto" w:sz="6" w:space="0"/>
              <w:left w:val="single" w:color="auto" w:sz="6" w:space="0"/>
              <w:bottom w:val="single" w:color="auto" w:sz="6" w:space="0"/>
              <w:right w:val="single" w:color="auto" w:sz="6" w:space="0"/>
            </w:tcBorders>
            <w:shd w:val="solid" w:color="FFFFFF" w:fill="auto"/>
          </w:tcPr>
          <w:p w14:paraId="73EDCB4C">
            <w:pPr>
              <w:autoSpaceDE w:val="0"/>
              <w:autoSpaceDN w:val="0"/>
              <w:adjustRightInd w:val="0"/>
              <w:jc w:val="left"/>
              <w:rPr>
                <w:rFonts w:ascii="宋体" w:hAnsi="宋体"/>
                <w:b/>
                <w:bCs/>
                <w:color w:val="000000"/>
                <w:kern w:val="0"/>
                <w:szCs w:val="21"/>
              </w:rPr>
            </w:pPr>
            <w:r>
              <w:rPr>
                <w:rFonts w:hint="eastAsia" w:ascii="宋体" w:hAnsi="宋体"/>
                <w:b/>
                <w:bCs/>
                <w:color w:val="000000"/>
                <w:kern w:val="0"/>
                <w:szCs w:val="21"/>
              </w:rPr>
              <w:t>数量</w:t>
            </w:r>
          </w:p>
        </w:tc>
        <w:tc>
          <w:tcPr>
            <w:tcW w:w="709" w:type="dxa"/>
            <w:tcBorders>
              <w:top w:val="single" w:color="auto" w:sz="6" w:space="0"/>
              <w:left w:val="single" w:color="auto" w:sz="6" w:space="0"/>
              <w:bottom w:val="single" w:color="auto" w:sz="6" w:space="0"/>
              <w:right w:val="single" w:color="auto" w:sz="6" w:space="0"/>
            </w:tcBorders>
            <w:shd w:val="solid" w:color="FFFFFF" w:fill="auto"/>
          </w:tcPr>
          <w:p w14:paraId="561BE431">
            <w:pPr>
              <w:autoSpaceDE w:val="0"/>
              <w:autoSpaceDN w:val="0"/>
              <w:adjustRightInd w:val="0"/>
              <w:jc w:val="left"/>
              <w:rPr>
                <w:rFonts w:ascii="宋体" w:hAnsi="宋体"/>
                <w:b/>
                <w:bCs/>
                <w:color w:val="000000"/>
                <w:kern w:val="0"/>
                <w:szCs w:val="21"/>
              </w:rPr>
            </w:pPr>
            <w:r>
              <w:rPr>
                <w:rFonts w:hint="eastAsia" w:ascii="宋体" w:hAnsi="宋体"/>
                <w:b/>
                <w:bCs/>
                <w:color w:val="000000"/>
                <w:kern w:val="0"/>
                <w:szCs w:val="21"/>
              </w:rPr>
              <w:t>单位</w:t>
            </w:r>
          </w:p>
        </w:tc>
        <w:tc>
          <w:tcPr>
            <w:tcW w:w="1134" w:type="dxa"/>
            <w:tcBorders>
              <w:top w:val="single" w:color="auto" w:sz="6" w:space="0"/>
              <w:left w:val="single" w:color="auto" w:sz="6" w:space="0"/>
              <w:bottom w:val="single" w:color="auto" w:sz="6" w:space="0"/>
              <w:right w:val="single" w:color="auto" w:sz="12" w:space="0"/>
            </w:tcBorders>
            <w:shd w:val="solid" w:color="FFFFFF" w:fill="auto"/>
          </w:tcPr>
          <w:p w14:paraId="51E0C83D">
            <w:pPr>
              <w:autoSpaceDE w:val="0"/>
              <w:autoSpaceDN w:val="0"/>
              <w:adjustRightInd w:val="0"/>
              <w:jc w:val="left"/>
              <w:rPr>
                <w:rFonts w:ascii="宋体" w:hAnsi="宋体"/>
                <w:b/>
                <w:bCs/>
                <w:color w:val="000000"/>
                <w:kern w:val="0"/>
                <w:szCs w:val="21"/>
              </w:rPr>
            </w:pPr>
            <w:r>
              <w:rPr>
                <w:rFonts w:hint="eastAsia" w:ascii="宋体" w:hAnsi="宋体"/>
                <w:b/>
                <w:bCs/>
                <w:color w:val="000000"/>
                <w:kern w:val="0"/>
                <w:szCs w:val="21"/>
              </w:rPr>
              <w:t>备注</w:t>
            </w:r>
          </w:p>
        </w:tc>
      </w:tr>
      <w:tr w14:paraId="12227713">
        <w:tblPrEx>
          <w:tblCellMar>
            <w:top w:w="0" w:type="dxa"/>
            <w:left w:w="108" w:type="dxa"/>
            <w:bottom w:w="0" w:type="dxa"/>
            <w:right w:w="108" w:type="dxa"/>
          </w:tblCellMar>
        </w:tblPrEx>
        <w:tc>
          <w:tcPr>
            <w:tcW w:w="739" w:type="dxa"/>
            <w:tcBorders>
              <w:top w:val="single" w:color="auto" w:sz="6" w:space="0"/>
              <w:left w:val="single" w:color="auto" w:sz="12" w:space="0"/>
              <w:bottom w:val="single" w:color="auto" w:sz="6" w:space="0"/>
              <w:right w:val="single" w:color="auto" w:sz="6" w:space="0"/>
            </w:tcBorders>
            <w:shd w:val="solid" w:color="FFFFFF" w:fill="auto"/>
            <w:vAlign w:val="center"/>
          </w:tcPr>
          <w:p w14:paraId="47147D21">
            <w:pPr>
              <w:jc w:val="center"/>
              <w:rPr>
                <w:rFonts w:ascii="宋体" w:hAnsi="宋体"/>
                <w:bCs/>
                <w:szCs w:val="21"/>
              </w:rPr>
            </w:pPr>
            <w:r>
              <w:rPr>
                <w:rFonts w:ascii="宋体" w:hAnsi="宋体"/>
                <w:bCs/>
                <w:szCs w:val="21"/>
              </w:rPr>
              <w:t>1</w:t>
            </w:r>
          </w:p>
        </w:tc>
        <w:tc>
          <w:tcPr>
            <w:tcW w:w="1134" w:type="dxa"/>
            <w:tcBorders>
              <w:top w:val="single" w:color="auto" w:sz="6" w:space="0"/>
              <w:left w:val="single" w:color="auto" w:sz="6" w:space="0"/>
              <w:bottom w:val="single" w:color="auto" w:sz="6" w:space="0"/>
              <w:right w:val="single" w:color="auto" w:sz="6" w:space="0"/>
            </w:tcBorders>
            <w:shd w:val="solid" w:color="FFFFFF" w:fill="auto"/>
            <w:vAlign w:val="center"/>
          </w:tcPr>
          <w:p w14:paraId="2DDF2FA1">
            <w:pPr>
              <w:rPr>
                <w:rFonts w:ascii="宋体" w:hAnsi="宋体"/>
                <w:bCs/>
                <w:szCs w:val="21"/>
              </w:rPr>
            </w:pPr>
            <w:r>
              <w:rPr>
                <w:rFonts w:hint="eastAsia" w:ascii="宋体" w:hAnsi="宋体"/>
                <w:bCs/>
                <w:szCs w:val="21"/>
              </w:rPr>
              <w:t>见习管理子系统</w:t>
            </w:r>
          </w:p>
        </w:tc>
        <w:tc>
          <w:tcPr>
            <w:tcW w:w="4394" w:type="dxa"/>
            <w:gridSpan w:val="2"/>
            <w:tcBorders>
              <w:top w:val="single" w:color="auto" w:sz="6" w:space="0"/>
              <w:left w:val="single" w:color="auto" w:sz="6" w:space="0"/>
              <w:bottom w:val="single" w:color="auto" w:sz="6" w:space="0"/>
              <w:right w:val="single" w:color="auto" w:sz="6" w:space="0"/>
            </w:tcBorders>
            <w:shd w:val="solid" w:color="FFFFFF" w:fill="auto"/>
            <w:vAlign w:val="center"/>
          </w:tcPr>
          <w:p w14:paraId="0BC5B7E7">
            <w:pPr>
              <w:rPr>
                <w:rFonts w:ascii="宋体" w:hAnsi="宋体"/>
                <w:bCs/>
                <w:szCs w:val="21"/>
              </w:rPr>
            </w:pPr>
            <w:r>
              <w:rPr>
                <w:rFonts w:hint="eastAsia" w:ascii="宋体" w:hAnsi="宋体"/>
                <w:bCs/>
                <w:szCs w:val="21"/>
              </w:rPr>
              <w:t>提供N</w:t>
            </w:r>
            <w:r>
              <w:rPr>
                <w:rFonts w:ascii="宋体" w:hAnsi="宋体"/>
                <w:bCs/>
                <w:szCs w:val="21"/>
              </w:rPr>
              <w:t>+2</w:t>
            </w:r>
            <w:r>
              <w:rPr>
                <w:rFonts w:hint="eastAsia" w:ascii="宋体" w:hAnsi="宋体"/>
                <w:bCs/>
                <w:szCs w:val="21"/>
              </w:rPr>
              <w:t>见习生（含随堂见习，即零散见习）的教学管理类功能服务，核心包含见习生学籍管理、课表管理、教学管理、学生考勤、请销假管理、课堂评价、宿舍管理以及基于相应教学数据的统计报表等应用</w:t>
            </w:r>
          </w:p>
        </w:tc>
        <w:tc>
          <w:tcPr>
            <w:tcW w:w="709" w:type="dxa"/>
            <w:tcBorders>
              <w:top w:val="single" w:color="auto" w:sz="6" w:space="0"/>
              <w:left w:val="single" w:color="auto" w:sz="6" w:space="0"/>
              <w:bottom w:val="single" w:color="auto" w:sz="6" w:space="0"/>
              <w:right w:val="single" w:color="auto" w:sz="6" w:space="0"/>
            </w:tcBorders>
            <w:shd w:val="solid" w:color="FFFFFF" w:fill="auto"/>
            <w:vAlign w:val="center"/>
          </w:tcPr>
          <w:p w14:paraId="0E7FD76F">
            <w:pPr>
              <w:jc w:val="center"/>
              <w:rPr>
                <w:rFonts w:ascii="宋体" w:hAnsi="宋体"/>
                <w:bCs/>
                <w:szCs w:val="21"/>
              </w:rPr>
            </w:pPr>
            <w:r>
              <w:rPr>
                <w:bCs/>
                <w:szCs w:val="21"/>
              </w:rPr>
              <w:t>1</w:t>
            </w:r>
          </w:p>
        </w:tc>
        <w:tc>
          <w:tcPr>
            <w:tcW w:w="709" w:type="dxa"/>
            <w:tcBorders>
              <w:top w:val="single" w:color="auto" w:sz="6" w:space="0"/>
              <w:left w:val="single" w:color="auto" w:sz="6" w:space="0"/>
              <w:bottom w:val="single" w:color="auto" w:sz="6" w:space="0"/>
              <w:right w:val="single" w:color="auto" w:sz="6" w:space="0"/>
            </w:tcBorders>
            <w:shd w:val="solid" w:color="FFFFFF" w:fill="auto"/>
            <w:vAlign w:val="center"/>
          </w:tcPr>
          <w:p w14:paraId="74BC5D53">
            <w:pPr>
              <w:jc w:val="center"/>
              <w:rPr>
                <w:rFonts w:ascii="宋体" w:hAnsi="宋体"/>
                <w:bCs/>
                <w:szCs w:val="21"/>
              </w:rPr>
            </w:pPr>
            <w:r>
              <w:rPr>
                <w:rFonts w:hint="eastAsia"/>
                <w:snapToGrid w:val="0"/>
                <w:szCs w:val="21"/>
              </w:rPr>
              <w:t>项</w:t>
            </w:r>
          </w:p>
        </w:tc>
        <w:tc>
          <w:tcPr>
            <w:tcW w:w="1134" w:type="dxa"/>
            <w:tcBorders>
              <w:top w:val="single" w:color="auto" w:sz="6" w:space="0"/>
              <w:left w:val="single" w:color="auto" w:sz="6" w:space="0"/>
              <w:bottom w:val="single" w:color="auto" w:sz="6" w:space="0"/>
              <w:right w:val="single" w:color="auto" w:sz="12" w:space="0"/>
            </w:tcBorders>
            <w:shd w:val="solid" w:color="FFFFFF" w:fill="auto"/>
            <w:vAlign w:val="center"/>
          </w:tcPr>
          <w:p w14:paraId="4316B9B4">
            <w:pPr>
              <w:jc w:val="center"/>
              <w:rPr>
                <w:rFonts w:ascii="宋体" w:hAnsi="宋体"/>
                <w:bCs/>
                <w:szCs w:val="21"/>
              </w:rPr>
            </w:pPr>
          </w:p>
        </w:tc>
      </w:tr>
      <w:tr w14:paraId="03BC8315">
        <w:tblPrEx>
          <w:tblCellMar>
            <w:top w:w="0" w:type="dxa"/>
            <w:left w:w="108" w:type="dxa"/>
            <w:bottom w:w="0" w:type="dxa"/>
            <w:right w:w="108" w:type="dxa"/>
          </w:tblCellMar>
        </w:tblPrEx>
        <w:tc>
          <w:tcPr>
            <w:tcW w:w="739" w:type="dxa"/>
            <w:tcBorders>
              <w:top w:val="single" w:color="auto" w:sz="6" w:space="0"/>
              <w:left w:val="single" w:color="auto" w:sz="12" w:space="0"/>
              <w:bottom w:val="single" w:color="auto" w:sz="6" w:space="0"/>
              <w:right w:val="single" w:color="auto" w:sz="6" w:space="0"/>
            </w:tcBorders>
            <w:vAlign w:val="center"/>
          </w:tcPr>
          <w:p w14:paraId="2C59343D">
            <w:pPr>
              <w:jc w:val="center"/>
              <w:rPr>
                <w:rFonts w:ascii="宋体" w:hAnsi="宋体"/>
                <w:bCs/>
                <w:szCs w:val="21"/>
              </w:rPr>
            </w:pPr>
            <w:r>
              <w:rPr>
                <w:rFonts w:ascii="宋体" w:hAnsi="宋体"/>
                <w:bCs/>
                <w:szCs w:val="21"/>
              </w:rPr>
              <w:t>2</w:t>
            </w:r>
          </w:p>
        </w:tc>
        <w:tc>
          <w:tcPr>
            <w:tcW w:w="1134" w:type="dxa"/>
            <w:tcBorders>
              <w:top w:val="single" w:color="auto" w:sz="6" w:space="0"/>
              <w:left w:val="single" w:color="auto" w:sz="6" w:space="0"/>
              <w:bottom w:val="single" w:color="auto" w:sz="6" w:space="0"/>
              <w:right w:val="single" w:color="auto" w:sz="6" w:space="0"/>
            </w:tcBorders>
            <w:vAlign w:val="center"/>
          </w:tcPr>
          <w:p w14:paraId="351004D7">
            <w:pPr>
              <w:rPr>
                <w:rFonts w:ascii="宋体" w:hAnsi="宋体"/>
                <w:bCs/>
                <w:szCs w:val="21"/>
              </w:rPr>
            </w:pPr>
            <w:r>
              <w:rPr>
                <w:rFonts w:hint="eastAsia" w:ascii="宋体" w:hAnsi="宋体"/>
                <w:bCs/>
                <w:szCs w:val="21"/>
              </w:rPr>
              <w:t>临床实习管理子系统</w:t>
            </w:r>
          </w:p>
        </w:tc>
        <w:tc>
          <w:tcPr>
            <w:tcW w:w="4394" w:type="dxa"/>
            <w:gridSpan w:val="2"/>
            <w:tcBorders>
              <w:top w:val="single" w:color="auto" w:sz="6" w:space="0"/>
              <w:left w:val="single" w:color="auto" w:sz="6" w:space="0"/>
              <w:bottom w:val="single" w:color="auto" w:sz="6" w:space="0"/>
              <w:right w:val="single" w:color="auto" w:sz="6" w:space="0"/>
            </w:tcBorders>
            <w:vAlign w:val="center"/>
          </w:tcPr>
          <w:p w14:paraId="58A0CC6F">
            <w:pPr>
              <w:rPr>
                <w:rFonts w:ascii="宋体" w:hAnsi="宋体"/>
                <w:bCs/>
                <w:szCs w:val="21"/>
              </w:rPr>
            </w:pPr>
            <w:r>
              <w:rPr>
                <w:rFonts w:hint="eastAsia" w:ascii="宋体" w:hAnsi="宋体"/>
                <w:bCs/>
                <w:szCs w:val="21"/>
              </w:rPr>
              <w:t>提供医技药类专业实习生的教学管理类功能服务，核心包含实习生学籍管理、轮科管理、学生考勤、请销假管理、教学活动、病历批阅、出科考评、360评价、宿舍管理以及基于相应教学数据的统计报表等应用</w:t>
            </w:r>
          </w:p>
        </w:tc>
        <w:tc>
          <w:tcPr>
            <w:tcW w:w="709" w:type="dxa"/>
            <w:tcBorders>
              <w:top w:val="single" w:color="auto" w:sz="6" w:space="0"/>
              <w:left w:val="single" w:color="auto" w:sz="6" w:space="0"/>
              <w:bottom w:val="single" w:color="auto" w:sz="6" w:space="0"/>
              <w:right w:val="single" w:color="auto" w:sz="6" w:space="0"/>
            </w:tcBorders>
            <w:vAlign w:val="center"/>
          </w:tcPr>
          <w:p w14:paraId="788E26BF">
            <w:pPr>
              <w:jc w:val="center"/>
              <w:rPr>
                <w:rFonts w:ascii="宋体" w:hAnsi="宋体"/>
                <w:bCs/>
                <w:szCs w:val="21"/>
              </w:rPr>
            </w:pPr>
            <w:r>
              <w:rPr>
                <w:bCs/>
                <w:szCs w:val="21"/>
              </w:rPr>
              <w:t>1</w:t>
            </w:r>
          </w:p>
        </w:tc>
        <w:tc>
          <w:tcPr>
            <w:tcW w:w="709" w:type="dxa"/>
            <w:tcBorders>
              <w:top w:val="single" w:color="auto" w:sz="6" w:space="0"/>
              <w:left w:val="single" w:color="auto" w:sz="6" w:space="0"/>
              <w:bottom w:val="single" w:color="auto" w:sz="6" w:space="0"/>
              <w:right w:val="single" w:color="auto" w:sz="6" w:space="0"/>
            </w:tcBorders>
            <w:vAlign w:val="center"/>
          </w:tcPr>
          <w:p w14:paraId="191E0507">
            <w:pPr>
              <w:jc w:val="center"/>
              <w:rPr>
                <w:rFonts w:ascii="宋体" w:hAnsi="宋体"/>
                <w:bCs/>
                <w:szCs w:val="21"/>
              </w:rPr>
            </w:pPr>
            <w:r>
              <w:rPr>
                <w:rFonts w:hint="eastAsia"/>
                <w:snapToGrid w:val="0"/>
                <w:szCs w:val="21"/>
              </w:rPr>
              <w:t>项</w:t>
            </w:r>
          </w:p>
        </w:tc>
        <w:tc>
          <w:tcPr>
            <w:tcW w:w="1134" w:type="dxa"/>
            <w:tcBorders>
              <w:top w:val="single" w:color="auto" w:sz="6" w:space="0"/>
              <w:left w:val="single" w:color="auto" w:sz="6" w:space="0"/>
              <w:bottom w:val="single" w:color="auto" w:sz="6" w:space="0"/>
              <w:right w:val="single" w:color="auto" w:sz="12" w:space="0"/>
            </w:tcBorders>
            <w:vAlign w:val="center"/>
          </w:tcPr>
          <w:p w14:paraId="1884BF65">
            <w:pPr>
              <w:jc w:val="center"/>
              <w:rPr>
                <w:rFonts w:ascii="宋体" w:hAnsi="宋体"/>
                <w:bCs/>
                <w:szCs w:val="21"/>
              </w:rPr>
            </w:pPr>
            <w:r>
              <w:rPr>
                <w:rFonts w:hint="eastAsia" w:ascii="宋体" w:hAnsi="宋体"/>
                <w:bCs/>
                <w:szCs w:val="21"/>
              </w:rPr>
              <w:t>医技药类</w:t>
            </w:r>
          </w:p>
        </w:tc>
      </w:tr>
      <w:tr w14:paraId="7187F8EF">
        <w:tblPrEx>
          <w:tblCellMar>
            <w:top w:w="0" w:type="dxa"/>
            <w:left w:w="108" w:type="dxa"/>
            <w:bottom w:w="0" w:type="dxa"/>
            <w:right w:w="108" w:type="dxa"/>
          </w:tblCellMar>
        </w:tblPrEx>
        <w:tc>
          <w:tcPr>
            <w:tcW w:w="739" w:type="dxa"/>
            <w:tcBorders>
              <w:top w:val="single" w:color="auto" w:sz="6" w:space="0"/>
              <w:left w:val="single" w:color="auto" w:sz="12" w:space="0"/>
              <w:bottom w:val="single" w:color="auto" w:sz="6" w:space="0"/>
              <w:right w:val="single" w:color="auto" w:sz="6" w:space="0"/>
            </w:tcBorders>
            <w:vAlign w:val="center"/>
          </w:tcPr>
          <w:p w14:paraId="09AEF574">
            <w:pPr>
              <w:jc w:val="center"/>
              <w:rPr>
                <w:rFonts w:ascii="宋体" w:hAnsi="宋体"/>
                <w:bCs/>
                <w:szCs w:val="21"/>
              </w:rPr>
            </w:pPr>
            <w:r>
              <w:rPr>
                <w:rFonts w:ascii="宋体" w:hAnsi="宋体"/>
                <w:bCs/>
                <w:szCs w:val="21"/>
              </w:rPr>
              <w:t>3</w:t>
            </w:r>
          </w:p>
        </w:tc>
        <w:tc>
          <w:tcPr>
            <w:tcW w:w="1134" w:type="dxa"/>
            <w:tcBorders>
              <w:top w:val="single" w:color="auto" w:sz="6" w:space="0"/>
              <w:left w:val="single" w:color="auto" w:sz="6" w:space="0"/>
              <w:bottom w:val="single" w:color="auto" w:sz="6" w:space="0"/>
              <w:right w:val="single" w:color="auto" w:sz="6" w:space="0"/>
            </w:tcBorders>
            <w:vAlign w:val="center"/>
          </w:tcPr>
          <w:p w14:paraId="43B68C4A">
            <w:pPr>
              <w:rPr>
                <w:rFonts w:ascii="宋体" w:hAnsi="宋体"/>
                <w:bCs/>
                <w:szCs w:val="21"/>
              </w:rPr>
            </w:pPr>
            <w:r>
              <w:rPr>
                <w:rFonts w:hint="eastAsia" w:ascii="宋体" w:hAnsi="宋体"/>
                <w:bCs/>
                <w:szCs w:val="21"/>
              </w:rPr>
              <w:t>护理实习管理子系统</w:t>
            </w:r>
          </w:p>
        </w:tc>
        <w:tc>
          <w:tcPr>
            <w:tcW w:w="4394" w:type="dxa"/>
            <w:gridSpan w:val="2"/>
            <w:tcBorders>
              <w:top w:val="single" w:color="auto" w:sz="6" w:space="0"/>
              <w:left w:val="single" w:color="auto" w:sz="6" w:space="0"/>
              <w:bottom w:val="single" w:color="auto" w:sz="6" w:space="0"/>
              <w:right w:val="single" w:color="auto" w:sz="6" w:space="0"/>
            </w:tcBorders>
            <w:vAlign w:val="center"/>
          </w:tcPr>
          <w:p w14:paraId="13156F14">
            <w:pPr>
              <w:rPr>
                <w:rFonts w:ascii="宋体" w:hAnsi="宋体"/>
                <w:bCs/>
                <w:szCs w:val="21"/>
              </w:rPr>
            </w:pPr>
            <w:r>
              <w:rPr>
                <w:rFonts w:hint="eastAsia" w:ascii="宋体" w:hAnsi="宋体"/>
                <w:bCs/>
                <w:szCs w:val="21"/>
              </w:rPr>
              <w:t>提供护理类专业实习生的教学管理类功能服务，核心包含实习生学籍管理、轮科管理、学生考勤、请销假管理、教学活动、病历批阅、出科考评、360评价、宿舍管理以及基于相应教学数据的统计报表等应用</w:t>
            </w:r>
          </w:p>
        </w:tc>
        <w:tc>
          <w:tcPr>
            <w:tcW w:w="709" w:type="dxa"/>
            <w:tcBorders>
              <w:top w:val="single" w:color="auto" w:sz="6" w:space="0"/>
              <w:left w:val="single" w:color="auto" w:sz="6" w:space="0"/>
              <w:bottom w:val="single" w:color="auto" w:sz="6" w:space="0"/>
              <w:right w:val="single" w:color="auto" w:sz="6" w:space="0"/>
            </w:tcBorders>
            <w:vAlign w:val="center"/>
          </w:tcPr>
          <w:p w14:paraId="6CF2129D">
            <w:pPr>
              <w:jc w:val="center"/>
              <w:rPr>
                <w:rFonts w:ascii="宋体" w:hAnsi="宋体"/>
                <w:bCs/>
                <w:szCs w:val="21"/>
              </w:rPr>
            </w:pPr>
            <w:r>
              <w:rPr>
                <w:bCs/>
                <w:szCs w:val="21"/>
              </w:rPr>
              <w:t>1</w:t>
            </w:r>
          </w:p>
        </w:tc>
        <w:tc>
          <w:tcPr>
            <w:tcW w:w="709" w:type="dxa"/>
            <w:tcBorders>
              <w:top w:val="single" w:color="auto" w:sz="6" w:space="0"/>
              <w:left w:val="single" w:color="auto" w:sz="6" w:space="0"/>
              <w:bottom w:val="single" w:color="auto" w:sz="6" w:space="0"/>
              <w:right w:val="single" w:color="auto" w:sz="6" w:space="0"/>
            </w:tcBorders>
            <w:vAlign w:val="center"/>
          </w:tcPr>
          <w:p w14:paraId="51C54F18">
            <w:pPr>
              <w:jc w:val="center"/>
              <w:rPr>
                <w:rFonts w:ascii="宋体" w:hAnsi="宋体"/>
                <w:bCs/>
                <w:szCs w:val="21"/>
              </w:rPr>
            </w:pPr>
            <w:r>
              <w:rPr>
                <w:rFonts w:hint="eastAsia"/>
                <w:snapToGrid w:val="0"/>
                <w:szCs w:val="21"/>
              </w:rPr>
              <w:t>项</w:t>
            </w:r>
          </w:p>
        </w:tc>
        <w:tc>
          <w:tcPr>
            <w:tcW w:w="1134" w:type="dxa"/>
            <w:tcBorders>
              <w:top w:val="single" w:color="auto" w:sz="6" w:space="0"/>
              <w:left w:val="single" w:color="auto" w:sz="6" w:space="0"/>
              <w:bottom w:val="single" w:color="auto" w:sz="6" w:space="0"/>
              <w:right w:val="single" w:color="auto" w:sz="12" w:space="0"/>
            </w:tcBorders>
            <w:vAlign w:val="center"/>
          </w:tcPr>
          <w:p w14:paraId="2177B8C2">
            <w:pPr>
              <w:jc w:val="center"/>
              <w:rPr>
                <w:rFonts w:ascii="宋体" w:hAnsi="宋体"/>
                <w:bCs/>
                <w:szCs w:val="21"/>
              </w:rPr>
            </w:pPr>
            <w:r>
              <w:rPr>
                <w:rFonts w:hint="eastAsia" w:ascii="宋体" w:hAnsi="宋体"/>
                <w:bCs/>
                <w:szCs w:val="21"/>
              </w:rPr>
              <w:t>护理类</w:t>
            </w:r>
          </w:p>
        </w:tc>
      </w:tr>
      <w:tr w14:paraId="137B1A96">
        <w:tblPrEx>
          <w:tblCellMar>
            <w:top w:w="0" w:type="dxa"/>
            <w:left w:w="108" w:type="dxa"/>
            <w:bottom w:w="0" w:type="dxa"/>
            <w:right w:w="108" w:type="dxa"/>
          </w:tblCellMar>
        </w:tblPrEx>
        <w:tc>
          <w:tcPr>
            <w:tcW w:w="739" w:type="dxa"/>
            <w:tcBorders>
              <w:top w:val="single" w:color="auto" w:sz="6" w:space="0"/>
              <w:left w:val="single" w:color="auto" w:sz="12" w:space="0"/>
              <w:bottom w:val="single" w:color="auto" w:sz="6" w:space="0"/>
              <w:right w:val="single" w:color="auto" w:sz="6" w:space="0"/>
            </w:tcBorders>
            <w:vAlign w:val="center"/>
          </w:tcPr>
          <w:p w14:paraId="4CE587CE">
            <w:pPr>
              <w:jc w:val="center"/>
              <w:rPr>
                <w:rFonts w:ascii="宋体" w:hAnsi="宋体"/>
                <w:bCs/>
                <w:szCs w:val="21"/>
              </w:rPr>
            </w:pPr>
            <w:r>
              <w:rPr>
                <w:rFonts w:hint="eastAsia" w:ascii="宋体" w:hAnsi="宋体"/>
                <w:bCs/>
                <w:szCs w:val="21"/>
              </w:rPr>
              <w:t>4</w:t>
            </w:r>
          </w:p>
        </w:tc>
        <w:tc>
          <w:tcPr>
            <w:tcW w:w="1134" w:type="dxa"/>
            <w:tcBorders>
              <w:top w:val="single" w:color="auto" w:sz="6" w:space="0"/>
              <w:left w:val="single" w:color="auto" w:sz="6" w:space="0"/>
              <w:bottom w:val="single" w:color="auto" w:sz="6" w:space="0"/>
              <w:right w:val="single" w:color="auto" w:sz="6" w:space="0"/>
            </w:tcBorders>
            <w:vAlign w:val="center"/>
          </w:tcPr>
          <w:p w14:paraId="4E511F36">
            <w:pPr>
              <w:rPr>
                <w:rFonts w:ascii="宋体" w:hAnsi="宋体"/>
                <w:bCs/>
                <w:szCs w:val="21"/>
              </w:rPr>
            </w:pPr>
            <w:r>
              <w:rPr>
                <w:rFonts w:hint="eastAsia" w:ascii="宋体" w:hAnsi="宋体"/>
                <w:bCs/>
                <w:szCs w:val="21"/>
              </w:rPr>
              <w:t>进修管理子系统</w:t>
            </w:r>
          </w:p>
        </w:tc>
        <w:tc>
          <w:tcPr>
            <w:tcW w:w="4394" w:type="dxa"/>
            <w:gridSpan w:val="2"/>
            <w:tcBorders>
              <w:top w:val="single" w:color="auto" w:sz="6" w:space="0"/>
              <w:left w:val="single" w:color="auto" w:sz="6" w:space="0"/>
              <w:bottom w:val="single" w:color="auto" w:sz="6" w:space="0"/>
              <w:right w:val="single" w:color="auto" w:sz="6" w:space="0"/>
            </w:tcBorders>
            <w:vAlign w:val="center"/>
          </w:tcPr>
          <w:p w14:paraId="64B67D9F">
            <w:pPr>
              <w:rPr>
                <w:rFonts w:ascii="宋体" w:hAnsi="宋体"/>
                <w:bCs/>
                <w:szCs w:val="21"/>
              </w:rPr>
            </w:pPr>
            <w:r>
              <w:rPr>
                <w:rFonts w:hint="eastAsia" w:ascii="宋体" w:hAnsi="宋体"/>
                <w:bCs/>
                <w:szCs w:val="21"/>
              </w:rPr>
              <w:t>提供进修生培训管理类功能服务，核心包含进修学员学籍管理、轮科管理、教学活动、出科考评、360评价、宿舍管理以及基于相应教学数据的统计报表等应用</w:t>
            </w:r>
          </w:p>
        </w:tc>
        <w:tc>
          <w:tcPr>
            <w:tcW w:w="709" w:type="dxa"/>
            <w:tcBorders>
              <w:top w:val="single" w:color="auto" w:sz="6" w:space="0"/>
              <w:left w:val="single" w:color="auto" w:sz="6" w:space="0"/>
              <w:bottom w:val="single" w:color="auto" w:sz="6" w:space="0"/>
              <w:right w:val="single" w:color="auto" w:sz="6" w:space="0"/>
            </w:tcBorders>
            <w:vAlign w:val="center"/>
          </w:tcPr>
          <w:p w14:paraId="45907988">
            <w:pPr>
              <w:jc w:val="center"/>
              <w:rPr>
                <w:rFonts w:ascii="宋体" w:hAnsi="宋体"/>
                <w:bCs/>
                <w:szCs w:val="21"/>
              </w:rPr>
            </w:pPr>
            <w:r>
              <w:rPr>
                <w:bCs/>
                <w:szCs w:val="21"/>
              </w:rPr>
              <w:t>1</w:t>
            </w:r>
          </w:p>
        </w:tc>
        <w:tc>
          <w:tcPr>
            <w:tcW w:w="709" w:type="dxa"/>
            <w:tcBorders>
              <w:top w:val="single" w:color="auto" w:sz="6" w:space="0"/>
              <w:left w:val="single" w:color="auto" w:sz="6" w:space="0"/>
              <w:bottom w:val="single" w:color="auto" w:sz="6" w:space="0"/>
              <w:right w:val="single" w:color="auto" w:sz="6" w:space="0"/>
            </w:tcBorders>
            <w:vAlign w:val="center"/>
          </w:tcPr>
          <w:p w14:paraId="33F5734E">
            <w:pPr>
              <w:jc w:val="center"/>
              <w:rPr>
                <w:rFonts w:ascii="宋体" w:hAnsi="宋体"/>
                <w:bCs/>
                <w:szCs w:val="21"/>
              </w:rPr>
            </w:pPr>
            <w:r>
              <w:rPr>
                <w:rFonts w:hint="eastAsia"/>
                <w:snapToGrid w:val="0"/>
                <w:szCs w:val="21"/>
              </w:rPr>
              <w:t>项</w:t>
            </w:r>
          </w:p>
        </w:tc>
        <w:tc>
          <w:tcPr>
            <w:tcW w:w="1134" w:type="dxa"/>
            <w:tcBorders>
              <w:top w:val="single" w:color="auto" w:sz="6" w:space="0"/>
              <w:left w:val="single" w:color="auto" w:sz="6" w:space="0"/>
              <w:bottom w:val="single" w:color="auto" w:sz="6" w:space="0"/>
              <w:right w:val="single" w:color="auto" w:sz="12" w:space="0"/>
            </w:tcBorders>
            <w:vAlign w:val="center"/>
          </w:tcPr>
          <w:p w14:paraId="498A4CDD">
            <w:pPr>
              <w:jc w:val="center"/>
              <w:rPr>
                <w:rFonts w:ascii="宋体" w:hAnsi="宋体"/>
                <w:bCs/>
                <w:szCs w:val="21"/>
              </w:rPr>
            </w:pPr>
          </w:p>
        </w:tc>
      </w:tr>
      <w:tr w14:paraId="6186EAD9">
        <w:tblPrEx>
          <w:tblCellMar>
            <w:top w:w="0" w:type="dxa"/>
            <w:left w:w="108" w:type="dxa"/>
            <w:bottom w:w="0" w:type="dxa"/>
            <w:right w:w="108" w:type="dxa"/>
          </w:tblCellMar>
        </w:tblPrEx>
        <w:tc>
          <w:tcPr>
            <w:tcW w:w="739" w:type="dxa"/>
            <w:tcBorders>
              <w:top w:val="single" w:color="auto" w:sz="6" w:space="0"/>
              <w:left w:val="single" w:color="auto" w:sz="12" w:space="0"/>
              <w:bottom w:val="single" w:color="auto" w:sz="6" w:space="0"/>
              <w:right w:val="single" w:color="auto" w:sz="6" w:space="0"/>
            </w:tcBorders>
            <w:vAlign w:val="center"/>
          </w:tcPr>
          <w:p w14:paraId="53B4586A">
            <w:pPr>
              <w:jc w:val="center"/>
              <w:rPr>
                <w:rFonts w:ascii="宋体" w:hAnsi="宋体"/>
                <w:bCs/>
                <w:szCs w:val="21"/>
              </w:rPr>
            </w:pPr>
            <w:r>
              <w:rPr>
                <w:rFonts w:hint="eastAsia" w:ascii="宋体" w:hAnsi="宋体"/>
                <w:bCs/>
                <w:szCs w:val="21"/>
              </w:rPr>
              <w:t>5</w:t>
            </w:r>
          </w:p>
        </w:tc>
        <w:tc>
          <w:tcPr>
            <w:tcW w:w="1134" w:type="dxa"/>
            <w:tcBorders>
              <w:top w:val="single" w:color="auto" w:sz="6" w:space="0"/>
              <w:left w:val="single" w:color="auto" w:sz="6" w:space="0"/>
              <w:bottom w:val="single" w:color="auto" w:sz="6" w:space="0"/>
              <w:right w:val="single" w:color="auto" w:sz="6" w:space="0"/>
            </w:tcBorders>
            <w:vAlign w:val="center"/>
          </w:tcPr>
          <w:p w14:paraId="4956B4D0">
            <w:pPr>
              <w:rPr>
                <w:rFonts w:ascii="宋体" w:hAnsi="宋体"/>
                <w:bCs/>
                <w:szCs w:val="21"/>
              </w:rPr>
            </w:pPr>
            <w:r>
              <w:rPr>
                <w:rFonts w:hint="eastAsia" w:ascii="宋体" w:hAnsi="宋体"/>
                <w:bCs/>
                <w:szCs w:val="21"/>
              </w:rPr>
              <w:t>内训管理子系统</w:t>
            </w:r>
          </w:p>
        </w:tc>
        <w:tc>
          <w:tcPr>
            <w:tcW w:w="4394" w:type="dxa"/>
            <w:gridSpan w:val="2"/>
            <w:tcBorders>
              <w:top w:val="single" w:color="auto" w:sz="6" w:space="0"/>
              <w:left w:val="single" w:color="auto" w:sz="6" w:space="0"/>
              <w:bottom w:val="single" w:color="auto" w:sz="6" w:space="0"/>
              <w:right w:val="single" w:color="auto" w:sz="6" w:space="0"/>
            </w:tcBorders>
            <w:vAlign w:val="center"/>
          </w:tcPr>
          <w:p w14:paraId="5EC35849">
            <w:pPr>
              <w:rPr>
                <w:rFonts w:ascii="宋体" w:hAnsi="宋体"/>
                <w:bCs/>
                <w:szCs w:val="21"/>
              </w:rPr>
            </w:pPr>
            <w:r>
              <w:rPr>
                <w:rFonts w:hint="eastAsia" w:ascii="宋体" w:hAnsi="宋体"/>
                <w:bCs/>
                <w:szCs w:val="21"/>
              </w:rPr>
              <w:t>提供护理层级教育管理系统所需的各项功能服务，核心包含内训学员学籍管理、轮科安排（规培护士）、学员考勤、请销假流程、内训计划、内训活动、线上课程、360评价以及基于相应教学数据的统计报表等；提供三基考试系统</w:t>
            </w:r>
          </w:p>
        </w:tc>
        <w:tc>
          <w:tcPr>
            <w:tcW w:w="709" w:type="dxa"/>
            <w:tcBorders>
              <w:top w:val="single" w:color="auto" w:sz="6" w:space="0"/>
              <w:left w:val="single" w:color="auto" w:sz="6" w:space="0"/>
              <w:bottom w:val="single" w:color="auto" w:sz="6" w:space="0"/>
              <w:right w:val="single" w:color="auto" w:sz="6" w:space="0"/>
            </w:tcBorders>
            <w:vAlign w:val="center"/>
          </w:tcPr>
          <w:p w14:paraId="339ADB82">
            <w:pPr>
              <w:jc w:val="center"/>
              <w:rPr>
                <w:rFonts w:ascii="宋体" w:hAnsi="宋体"/>
                <w:bCs/>
                <w:szCs w:val="21"/>
              </w:rPr>
            </w:pPr>
            <w:r>
              <w:rPr>
                <w:bCs/>
                <w:szCs w:val="21"/>
              </w:rPr>
              <w:t>1</w:t>
            </w:r>
          </w:p>
        </w:tc>
        <w:tc>
          <w:tcPr>
            <w:tcW w:w="709" w:type="dxa"/>
            <w:tcBorders>
              <w:top w:val="single" w:color="auto" w:sz="6" w:space="0"/>
              <w:left w:val="single" w:color="auto" w:sz="6" w:space="0"/>
              <w:bottom w:val="single" w:color="auto" w:sz="6" w:space="0"/>
              <w:right w:val="single" w:color="auto" w:sz="6" w:space="0"/>
            </w:tcBorders>
            <w:vAlign w:val="center"/>
          </w:tcPr>
          <w:p w14:paraId="099A480F">
            <w:pPr>
              <w:jc w:val="center"/>
              <w:rPr>
                <w:rFonts w:ascii="宋体" w:hAnsi="宋体"/>
                <w:bCs/>
                <w:szCs w:val="21"/>
              </w:rPr>
            </w:pPr>
            <w:r>
              <w:rPr>
                <w:rFonts w:hint="eastAsia"/>
                <w:snapToGrid w:val="0"/>
                <w:szCs w:val="21"/>
              </w:rPr>
              <w:t>项</w:t>
            </w:r>
          </w:p>
        </w:tc>
        <w:tc>
          <w:tcPr>
            <w:tcW w:w="1134" w:type="dxa"/>
            <w:tcBorders>
              <w:top w:val="single" w:color="auto" w:sz="6" w:space="0"/>
              <w:left w:val="single" w:color="auto" w:sz="6" w:space="0"/>
              <w:bottom w:val="single" w:color="auto" w:sz="6" w:space="0"/>
              <w:right w:val="single" w:color="auto" w:sz="12" w:space="0"/>
            </w:tcBorders>
            <w:vAlign w:val="center"/>
          </w:tcPr>
          <w:p w14:paraId="33C2E010">
            <w:pPr>
              <w:jc w:val="center"/>
              <w:rPr>
                <w:rFonts w:ascii="宋体" w:hAnsi="宋体"/>
                <w:bCs/>
                <w:szCs w:val="21"/>
              </w:rPr>
            </w:pPr>
          </w:p>
        </w:tc>
      </w:tr>
      <w:tr w14:paraId="2F230755">
        <w:tblPrEx>
          <w:tblCellMar>
            <w:top w:w="0" w:type="dxa"/>
            <w:left w:w="108" w:type="dxa"/>
            <w:bottom w:w="0" w:type="dxa"/>
            <w:right w:w="108" w:type="dxa"/>
          </w:tblCellMar>
        </w:tblPrEx>
        <w:tc>
          <w:tcPr>
            <w:tcW w:w="8819" w:type="dxa"/>
            <w:gridSpan w:val="7"/>
            <w:tcBorders>
              <w:top w:val="single" w:color="auto" w:sz="6" w:space="0"/>
              <w:left w:val="single" w:color="auto" w:sz="12" w:space="0"/>
              <w:bottom w:val="single" w:color="auto" w:sz="6" w:space="0"/>
              <w:right w:val="single" w:color="auto" w:sz="12" w:space="0"/>
            </w:tcBorders>
            <w:vAlign w:val="center"/>
          </w:tcPr>
          <w:p w14:paraId="4AA821BC">
            <w:pPr>
              <w:spacing w:line="360" w:lineRule="auto"/>
              <w:jc w:val="left"/>
              <w:rPr>
                <w:rFonts w:ascii="宋体"/>
                <w:bCs/>
                <w:szCs w:val="21"/>
              </w:rPr>
            </w:pPr>
            <w:r>
              <w:rPr>
                <w:rFonts w:hint="eastAsia" w:ascii="宋体"/>
                <w:b/>
                <w:bCs/>
                <w:color w:val="000000"/>
                <w:kern w:val="0"/>
                <w:szCs w:val="21"/>
              </w:rPr>
              <w:t>二、技术支持服务</w:t>
            </w:r>
          </w:p>
        </w:tc>
      </w:tr>
      <w:tr w14:paraId="2455E758">
        <w:tblPrEx>
          <w:tblCellMar>
            <w:top w:w="0" w:type="dxa"/>
            <w:left w:w="108" w:type="dxa"/>
            <w:bottom w:w="0" w:type="dxa"/>
            <w:right w:w="108" w:type="dxa"/>
          </w:tblCellMar>
        </w:tblPrEx>
        <w:tc>
          <w:tcPr>
            <w:tcW w:w="739" w:type="dxa"/>
            <w:tcBorders>
              <w:top w:val="single" w:color="auto" w:sz="6" w:space="0"/>
              <w:left w:val="single" w:color="auto" w:sz="12" w:space="0"/>
              <w:bottom w:val="single" w:color="auto" w:sz="6" w:space="0"/>
              <w:right w:val="single" w:color="auto" w:sz="6" w:space="0"/>
            </w:tcBorders>
            <w:vAlign w:val="center"/>
          </w:tcPr>
          <w:p w14:paraId="6DDD2024">
            <w:pPr>
              <w:rPr>
                <w:b/>
                <w:szCs w:val="21"/>
              </w:rPr>
            </w:pPr>
            <w:r>
              <w:rPr>
                <w:rFonts w:hint="eastAsia"/>
                <w:b/>
                <w:szCs w:val="21"/>
              </w:rPr>
              <w:t>序号</w:t>
            </w:r>
          </w:p>
        </w:tc>
        <w:tc>
          <w:tcPr>
            <w:tcW w:w="1276" w:type="dxa"/>
            <w:gridSpan w:val="2"/>
            <w:tcBorders>
              <w:top w:val="single" w:color="auto" w:sz="6" w:space="0"/>
              <w:left w:val="single" w:color="auto" w:sz="6" w:space="0"/>
              <w:bottom w:val="single" w:color="auto" w:sz="6" w:space="0"/>
              <w:right w:val="single" w:color="auto" w:sz="6" w:space="0"/>
            </w:tcBorders>
            <w:vAlign w:val="center"/>
          </w:tcPr>
          <w:p w14:paraId="5727043B">
            <w:pPr>
              <w:jc w:val="center"/>
              <w:rPr>
                <w:b/>
                <w:szCs w:val="21"/>
              </w:rPr>
            </w:pPr>
            <w:r>
              <w:rPr>
                <w:rFonts w:hint="eastAsia"/>
                <w:b/>
                <w:szCs w:val="21"/>
              </w:rPr>
              <w:t>分项名称</w:t>
            </w:r>
          </w:p>
        </w:tc>
        <w:tc>
          <w:tcPr>
            <w:tcW w:w="4252" w:type="dxa"/>
            <w:tcBorders>
              <w:top w:val="single" w:color="auto" w:sz="6" w:space="0"/>
              <w:left w:val="single" w:color="auto" w:sz="6" w:space="0"/>
              <w:bottom w:val="single" w:color="auto" w:sz="6" w:space="0"/>
              <w:right w:val="single" w:color="auto" w:sz="6" w:space="0"/>
            </w:tcBorders>
            <w:vAlign w:val="center"/>
          </w:tcPr>
          <w:p w14:paraId="0EDA2EB8">
            <w:pPr>
              <w:jc w:val="left"/>
              <w:rPr>
                <w:b/>
                <w:szCs w:val="21"/>
              </w:rPr>
            </w:pPr>
            <w:r>
              <w:rPr>
                <w:rFonts w:hint="eastAsia" w:ascii="宋体"/>
                <w:b/>
                <w:bCs/>
                <w:color w:val="000000"/>
                <w:kern w:val="0"/>
                <w:szCs w:val="21"/>
              </w:rPr>
              <w:t>具体服务内容</w:t>
            </w:r>
          </w:p>
        </w:tc>
        <w:tc>
          <w:tcPr>
            <w:tcW w:w="709" w:type="dxa"/>
            <w:tcBorders>
              <w:top w:val="single" w:color="auto" w:sz="6" w:space="0"/>
              <w:left w:val="single" w:color="auto" w:sz="6" w:space="0"/>
              <w:bottom w:val="single" w:color="auto" w:sz="6" w:space="0"/>
              <w:right w:val="single" w:color="auto" w:sz="6" w:space="0"/>
            </w:tcBorders>
            <w:vAlign w:val="center"/>
          </w:tcPr>
          <w:p w14:paraId="633EEFCE">
            <w:pPr>
              <w:rPr>
                <w:b/>
                <w:bCs/>
                <w:szCs w:val="21"/>
              </w:rPr>
            </w:pPr>
            <w:r>
              <w:rPr>
                <w:rFonts w:hint="eastAsia"/>
                <w:b/>
                <w:bCs/>
                <w:szCs w:val="21"/>
              </w:rPr>
              <w:t>数量</w:t>
            </w:r>
          </w:p>
        </w:tc>
        <w:tc>
          <w:tcPr>
            <w:tcW w:w="709" w:type="dxa"/>
            <w:tcBorders>
              <w:top w:val="single" w:color="auto" w:sz="6" w:space="0"/>
              <w:left w:val="single" w:color="auto" w:sz="6" w:space="0"/>
              <w:bottom w:val="single" w:color="auto" w:sz="6" w:space="0"/>
              <w:right w:val="single" w:color="auto" w:sz="6" w:space="0"/>
            </w:tcBorders>
            <w:vAlign w:val="center"/>
          </w:tcPr>
          <w:p w14:paraId="00829D10">
            <w:pPr>
              <w:rPr>
                <w:b/>
                <w:bCs/>
                <w:szCs w:val="21"/>
              </w:rPr>
            </w:pPr>
            <w:r>
              <w:rPr>
                <w:rFonts w:hint="eastAsia"/>
                <w:b/>
                <w:bCs/>
                <w:szCs w:val="21"/>
              </w:rPr>
              <w:t>单位</w:t>
            </w:r>
          </w:p>
        </w:tc>
        <w:tc>
          <w:tcPr>
            <w:tcW w:w="1134" w:type="dxa"/>
            <w:tcBorders>
              <w:top w:val="single" w:color="auto" w:sz="6" w:space="0"/>
              <w:left w:val="single" w:color="auto" w:sz="6" w:space="0"/>
              <w:bottom w:val="single" w:color="auto" w:sz="6" w:space="0"/>
              <w:right w:val="single" w:color="auto" w:sz="12" w:space="0"/>
            </w:tcBorders>
            <w:vAlign w:val="center"/>
          </w:tcPr>
          <w:p w14:paraId="2DD01F84">
            <w:pPr>
              <w:spacing w:line="360" w:lineRule="auto"/>
              <w:jc w:val="left"/>
              <w:rPr>
                <w:rFonts w:ascii="宋体"/>
                <w:bCs/>
                <w:szCs w:val="21"/>
              </w:rPr>
            </w:pPr>
          </w:p>
        </w:tc>
      </w:tr>
      <w:tr w14:paraId="3B45BAD7">
        <w:tblPrEx>
          <w:tblCellMar>
            <w:top w:w="0" w:type="dxa"/>
            <w:left w:w="108" w:type="dxa"/>
            <w:bottom w:w="0" w:type="dxa"/>
            <w:right w:w="108" w:type="dxa"/>
          </w:tblCellMar>
        </w:tblPrEx>
        <w:tc>
          <w:tcPr>
            <w:tcW w:w="739" w:type="dxa"/>
            <w:tcBorders>
              <w:top w:val="single" w:color="auto" w:sz="6" w:space="0"/>
              <w:left w:val="single" w:color="auto" w:sz="12" w:space="0"/>
              <w:bottom w:val="single" w:color="auto" w:sz="6" w:space="0"/>
              <w:right w:val="single" w:color="auto" w:sz="6" w:space="0"/>
            </w:tcBorders>
            <w:vAlign w:val="center"/>
          </w:tcPr>
          <w:p w14:paraId="0E98D887">
            <w:pPr>
              <w:jc w:val="center"/>
              <w:rPr>
                <w:szCs w:val="21"/>
              </w:rPr>
            </w:pPr>
            <w:r>
              <w:rPr>
                <w:rFonts w:hint="eastAsia"/>
                <w:szCs w:val="21"/>
              </w:rPr>
              <w:t>1</w:t>
            </w:r>
          </w:p>
        </w:tc>
        <w:tc>
          <w:tcPr>
            <w:tcW w:w="1276" w:type="dxa"/>
            <w:gridSpan w:val="2"/>
            <w:tcBorders>
              <w:top w:val="single" w:color="auto" w:sz="6" w:space="0"/>
              <w:left w:val="single" w:color="auto" w:sz="6" w:space="0"/>
              <w:bottom w:val="single" w:color="auto" w:sz="6" w:space="0"/>
              <w:right w:val="single" w:color="auto" w:sz="6" w:space="0"/>
            </w:tcBorders>
            <w:vAlign w:val="center"/>
          </w:tcPr>
          <w:p w14:paraId="18B75BB2">
            <w:pPr>
              <w:rPr>
                <w:szCs w:val="21"/>
              </w:rPr>
            </w:pPr>
            <w:r>
              <w:rPr>
                <w:rFonts w:hint="eastAsia"/>
                <w:szCs w:val="21"/>
              </w:rPr>
              <w:t>培训服务</w:t>
            </w:r>
          </w:p>
        </w:tc>
        <w:tc>
          <w:tcPr>
            <w:tcW w:w="4252" w:type="dxa"/>
            <w:tcBorders>
              <w:top w:val="single" w:color="auto" w:sz="6" w:space="0"/>
              <w:left w:val="single" w:color="auto" w:sz="6" w:space="0"/>
              <w:bottom w:val="single" w:color="auto" w:sz="6" w:space="0"/>
              <w:right w:val="single" w:color="auto" w:sz="6" w:space="0"/>
            </w:tcBorders>
            <w:vAlign w:val="center"/>
          </w:tcPr>
          <w:p w14:paraId="4D4570AD">
            <w:pPr>
              <w:rPr>
                <w:bCs/>
                <w:szCs w:val="21"/>
              </w:rPr>
            </w:pPr>
            <w:r>
              <w:rPr>
                <w:rFonts w:hint="eastAsia"/>
                <w:bCs/>
                <w:szCs w:val="21"/>
              </w:rPr>
              <w:t>不低于1次骨干教师批量培训；不低于1次</w:t>
            </w:r>
            <w:r>
              <w:rPr>
                <w:bCs/>
                <w:szCs w:val="21"/>
              </w:rPr>
              <w:t>/</w:t>
            </w:r>
            <w:r>
              <w:rPr>
                <w:rFonts w:hint="eastAsia"/>
                <w:bCs/>
                <w:szCs w:val="21"/>
              </w:rPr>
              <w:t>批新学员批量培训；不低于1次/科室的入科培训；</w:t>
            </w:r>
          </w:p>
        </w:tc>
        <w:tc>
          <w:tcPr>
            <w:tcW w:w="709" w:type="dxa"/>
            <w:tcBorders>
              <w:top w:val="single" w:color="auto" w:sz="6" w:space="0"/>
              <w:left w:val="single" w:color="auto" w:sz="6" w:space="0"/>
              <w:bottom w:val="single" w:color="auto" w:sz="6" w:space="0"/>
              <w:right w:val="single" w:color="auto" w:sz="6" w:space="0"/>
            </w:tcBorders>
            <w:vAlign w:val="center"/>
          </w:tcPr>
          <w:p w14:paraId="7C007718">
            <w:pPr>
              <w:jc w:val="center"/>
              <w:rPr>
                <w:bCs/>
                <w:szCs w:val="21"/>
              </w:rPr>
            </w:pPr>
            <w:r>
              <w:rPr>
                <w:bCs/>
                <w:szCs w:val="21"/>
              </w:rPr>
              <w:t>1</w:t>
            </w:r>
          </w:p>
        </w:tc>
        <w:tc>
          <w:tcPr>
            <w:tcW w:w="709" w:type="dxa"/>
            <w:tcBorders>
              <w:top w:val="single" w:color="auto" w:sz="6" w:space="0"/>
              <w:left w:val="single" w:color="auto" w:sz="6" w:space="0"/>
              <w:bottom w:val="single" w:color="auto" w:sz="6" w:space="0"/>
              <w:right w:val="single" w:color="auto" w:sz="6" w:space="0"/>
            </w:tcBorders>
            <w:vAlign w:val="center"/>
          </w:tcPr>
          <w:p w14:paraId="38E5DEF0">
            <w:pPr>
              <w:jc w:val="center"/>
              <w:rPr>
                <w:bCs/>
                <w:szCs w:val="21"/>
              </w:rPr>
            </w:pPr>
            <w:r>
              <w:rPr>
                <w:rFonts w:hint="eastAsia"/>
                <w:snapToGrid w:val="0"/>
                <w:szCs w:val="21"/>
              </w:rPr>
              <w:t>项</w:t>
            </w:r>
          </w:p>
        </w:tc>
        <w:tc>
          <w:tcPr>
            <w:tcW w:w="1134" w:type="dxa"/>
            <w:tcBorders>
              <w:top w:val="single" w:color="auto" w:sz="6" w:space="0"/>
              <w:left w:val="single" w:color="auto" w:sz="6" w:space="0"/>
              <w:bottom w:val="single" w:color="auto" w:sz="6" w:space="0"/>
              <w:right w:val="single" w:color="auto" w:sz="12" w:space="0"/>
            </w:tcBorders>
            <w:vAlign w:val="center"/>
          </w:tcPr>
          <w:p w14:paraId="65A6638B">
            <w:pPr>
              <w:spacing w:line="360" w:lineRule="auto"/>
              <w:jc w:val="left"/>
              <w:rPr>
                <w:rFonts w:ascii="宋体"/>
                <w:bCs/>
                <w:szCs w:val="21"/>
              </w:rPr>
            </w:pPr>
          </w:p>
        </w:tc>
      </w:tr>
      <w:tr w14:paraId="4F8B7498">
        <w:tblPrEx>
          <w:tblCellMar>
            <w:top w:w="0" w:type="dxa"/>
            <w:left w:w="108" w:type="dxa"/>
            <w:bottom w:w="0" w:type="dxa"/>
            <w:right w:w="108" w:type="dxa"/>
          </w:tblCellMar>
        </w:tblPrEx>
        <w:tc>
          <w:tcPr>
            <w:tcW w:w="739" w:type="dxa"/>
            <w:tcBorders>
              <w:top w:val="single" w:color="auto" w:sz="6" w:space="0"/>
              <w:left w:val="single" w:color="auto" w:sz="12" w:space="0"/>
              <w:bottom w:val="single" w:color="auto" w:sz="6" w:space="0"/>
              <w:right w:val="single" w:color="auto" w:sz="6" w:space="0"/>
            </w:tcBorders>
            <w:vAlign w:val="center"/>
          </w:tcPr>
          <w:p w14:paraId="7D1DA0CB">
            <w:pPr>
              <w:jc w:val="center"/>
              <w:rPr>
                <w:szCs w:val="21"/>
              </w:rPr>
            </w:pPr>
            <w:r>
              <w:rPr>
                <w:rFonts w:hint="eastAsia"/>
                <w:szCs w:val="21"/>
              </w:rPr>
              <w:t>2</w:t>
            </w:r>
          </w:p>
        </w:tc>
        <w:tc>
          <w:tcPr>
            <w:tcW w:w="1276" w:type="dxa"/>
            <w:gridSpan w:val="2"/>
            <w:tcBorders>
              <w:top w:val="single" w:color="auto" w:sz="6" w:space="0"/>
              <w:left w:val="single" w:color="auto" w:sz="6" w:space="0"/>
              <w:bottom w:val="single" w:color="auto" w:sz="6" w:space="0"/>
              <w:right w:val="single" w:color="auto" w:sz="6" w:space="0"/>
            </w:tcBorders>
            <w:vAlign w:val="center"/>
          </w:tcPr>
          <w:p w14:paraId="74AE9204">
            <w:pPr>
              <w:rPr>
                <w:szCs w:val="21"/>
              </w:rPr>
            </w:pPr>
            <w:r>
              <w:rPr>
                <w:rFonts w:hint="eastAsia"/>
                <w:szCs w:val="21"/>
              </w:rPr>
              <w:t>日常服务</w:t>
            </w:r>
          </w:p>
        </w:tc>
        <w:tc>
          <w:tcPr>
            <w:tcW w:w="4252" w:type="dxa"/>
            <w:tcBorders>
              <w:top w:val="single" w:color="auto" w:sz="6" w:space="0"/>
              <w:left w:val="single" w:color="auto" w:sz="6" w:space="0"/>
              <w:bottom w:val="single" w:color="auto" w:sz="6" w:space="0"/>
              <w:right w:val="single" w:color="auto" w:sz="6" w:space="0"/>
            </w:tcBorders>
            <w:vAlign w:val="center"/>
          </w:tcPr>
          <w:p w14:paraId="68249079">
            <w:pPr>
              <w:rPr>
                <w:bCs/>
                <w:szCs w:val="21"/>
              </w:rPr>
            </w:pPr>
            <w:r>
              <w:rPr>
                <w:rFonts w:hint="eastAsia"/>
                <w:bCs/>
                <w:szCs w:val="21"/>
              </w:rPr>
              <w:t>提供骨干教师服务群，学员服务群，提供日常的线上答疑和使用指导服务；</w:t>
            </w:r>
          </w:p>
        </w:tc>
        <w:tc>
          <w:tcPr>
            <w:tcW w:w="709" w:type="dxa"/>
            <w:tcBorders>
              <w:top w:val="single" w:color="auto" w:sz="6" w:space="0"/>
              <w:left w:val="single" w:color="auto" w:sz="6" w:space="0"/>
              <w:bottom w:val="single" w:color="auto" w:sz="6" w:space="0"/>
              <w:right w:val="single" w:color="auto" w:sz="6" w:space="0"/>
            </w:tcBorders>
            <w:vAlign w:val="center"/>
          </w:tcPr>
          <w:p w14:paraId="5DC756E2">
            <w:pPr>
              <w:jc w:val="center"/>
              <w:rPr>
                <w:bCs/>
                <w:szCs w:val="21"/>
              </w:rPr>
            </w:pPr>
            <w:r>
              <w:rPr>
                <w:bCs/>
                <w:szCs w:val="21"/>
              </w:rPr>
              <w:t>1</w:t>
            </w:r>
          </w:p>
        </w:tc>
        <w:tc>
          <w:tcPr>
            <w:tcW w:w="709" w:type="dxa"/>
            <w:tcBorders>
              <w:top w:val="single" w:color="auto" w:sz="6" w:space="0"/>
              <w:left w:val="single" w:color="auto" w:sz="6" w:space="0"/>
              <w:bottom w:val="single" w:color="auto" w:sz="6" w:space="0"/>
              <w:right w:val="single" w:color="auto" w:sz="6" w:space="0"/>
            </w:tcBorders>
            <w:vAlign w:val="center"/>
          </w:tcPr>
          <w:p w14:paraId="435D0FA4">
            <w:pPr>
              <w:jc w:val="center"/>
              <w:rPr>
                <w:bCs/>
                <w:szCs w:val="21"/>
              </w:rPr>
            </w:pPr>
            <w:r>
              <w:rPr>
                <w:rFonts w:hint="eastAsia"/>
                <w:snapToGrid w:val="0"/>
                <w:szCs w:val="21"/>
              </w:rPr>
              <w:t>项</w:t>
            </w:r>
          </w:p>
        </w:tc>
        <w:tc>
          <w:tcPr>
            <w:tcW w:w="1134" w:type="dxa"/>
            <w:tcBorders>
              <w:top w:val="single" w:color="auto" w:sz="6" w:space="0"/>
              <w:left w:val="single" w:color="auto" w:sz="6" w:space="0"/>
              <w:bottom w:val="single" w:color="auto" w:sz="6" w:space="0"/>
              <w:right w:val="single" w:color="auto" w:sz="12" w:space="0"/>
            </w:tcBorders>
            <w:vAlign w:val="center"/>
          </w:tcPr>
          <w:p w14:paraId="642DE3DD">
            <w:pPr>
              <w:spacing w:line="360" w:lineRule="auto"/>
              <w:jc w:val="left"/>
              <w:rPr>
                <w:rFonts w:ascii="宋体"/>
                <w:bCs/>
                <w:szCs w:val="21"/>
              </w:rPr>
            </w:pPr>
          </w:p>
        </w:tc>
      </w:tr>
      <w:tr w14:paraId="7F23916B">
        <w:tblPrEx>
          <w:tblCellMar>
            <w:top w:w="0" w:type="dxa"/>
            <w:left w:w="108" w:type="dxa"/>
            <w:bottom w:w="0" w:type="dxa"/>
            <w:right w:w="108" w:type="dxa"/>
          </w:tblCellMar>
        </w:tblPrEx>
        <w:tc>
          <w:tcPr>
            <w:tcW w:w="739" w:type="dxa"/>
            <w:tcBorders>
              <w:top w:val="single" w:color="auto" w:sz="6" w:space="0"/>
              <w:left w:val="single" w:color="auto" w:sz="12" w:space="0"/>
              <w:bottom w:val="single" w:color="auto" w:sz="6" w:space="0"/>
              <w:right w:val="single" w:color="auto" w:sz="6" w:space="0"/>
            </w:tcBorders>
            <w:vAlign w:val="center"/>
          </w:tcPr>
          <w:p w14:paraId="3404C6DB">
            <w:pPr>
              <w:jc w:val="center"/>
              <w:rPr>
                <w:szCs w:val="21"/>
              </w:rPr>
            </w:pPr>
            <w:r>
              <w:rPr>
                <w:szCs w:val="21"/>
              </w:rPr>
              <w:t>3</w:t>
            </w:r>
          </w:p>
        </w:tc>
        <w:tc>
          <w:tcPr>
            <w:tcW w:w="1276" w:type="dxa"/>
            <w:gridSpan w:val="2"/>
            <w:tcBorders>
              <w:top w:val="single" w:color="auto" w:sz="6" w:space="0"/>
              <w:left w:val="single" w:color="auto" w:sz="6" w:space="0"/>
              <w:bottom w:val="single" w:color="auto" w:sz="6" w:space="0"/>
              <w:right w:val="single" w:color="auto" w:sz="6" w:space="0"/>
            </w:tcBorders>
            <w:vAlign w:val="center"/>
          </w:tcPr>
          <w:p w14:paraId="364D9F05">
            <w:pPr>
              <w:rPr>
                <w:szCs w:val="21"/>
              </w:rPr>
            </w:pPr>
            <w:r>
              <w:rPr>
                <w:rFonts w:hint="eastAsia"/>
                <w:szCs w:val="21"/>
              </w:rPr>
              <w:t>日常运维</w:t>
            </w:r>
          </w:p>
        </w:tc>
        <w:tc>
          <w:tcPr>
            <w:tcW w:w="4252" w:type="dxa"/>
            <w:tcBorders>
              <w:top w:val="single" w:color="auto" w:sz="6" w:space="0"/>
              <w:left w:val="single" w:color="auto" w:sz="6" w:space="0"/>
              <w:bottom w:val="single" w:color="auto" w:sz="6" w:space="0"/>
              <w:right w:val="single" w:color="auto" w:sz="6" w:space="0"/>
            </w:tcBorders>
            <w:vAlign w:val="center"/>
          </w:tcPr>
          <w:p w14:paraId="5ADA4607">
            <w:pPr>
              <w:rPr>
                <w:bCs/>
                <w:szCs w:val="21"/>
              </w:rPr>
            </w:pPr>
            <w:r>
              <w:rPr>
                <w:rFonts w:hint="eastAsia"/>
                <w:bCs/>
                <w:szCs w:val="21"/>
              </w:rPr>
              <w:t>提供系统的日常运维和数据的运维服务，保证系统的稳定运行；</w:t>
            </w:r>
          </w:p>
        </w:tc>
        <w:tc>
          <w:tcPr>
            <w:tcW w:w="709" w:type="dxa"/>
            <w:tcBorders>
              <w:top w:val="single" w:color="auto" w:sz="6" w:space="0"/>
              <w:left w:val="single" w:color="auto" w:sz="6" w:space="0"/>
              <w:bottom w:val="single" w:color="auto" w:sz="6" w:space="0"/>
              <w:right w:val="single" w:color="auto" w:sz="6" w:space="0"/>
            </w:tcBorders>
            <w:vAlign w:val="center"/>
          </w:tcPr>
          <w:p w14:paraId="02BD51C3">
            <w:pPr>
              <w:jc w:val="center"/>
              <w:rPr>
                <w:bCs/>
                <w:szCs w:val="21"/>
              </w:rPr>
            </w:pPr>
            <w:r>
              <w:rPr>
                <w:bCs/>
                <w:szCs w:val="21"/>
              </w:rPr>
              <w:t>1</w:t>
            </w:r>
          </w:p>
        </w:tc>
        <w:tc>
          <w:tcPr>
            <w:tcW w:w="709" w:type="dxa"/>
            <w:tcBorders>
              <w:top w:val="single" w:color="auto" w:sz="6" w:space="0"/>
              <w:left w:val="single" w:color="auto" w:sz="6" w:space="0"/>
              <w:bottom w:val="single" w:color="auto" w:sz="6" w:space="0"/>
              <w:right w:val="single" w:color="auto" w:sz="6" w:space="0"/>
            </w:tcBorders>
            <w:vAlign w:val="center"/>
          </w:tcPr>
          <w:p w14:paraId="33F669CD">
            <w:pPr>
              <w:jc w:val="center"/>
              <w:rPr>
                <w:bCs/>
                <w:szCs w:val="21"/>
              </w:rPr>
            </w:pPr>
            <w:r>
              <w:rPr>
                <w:rFonts w:hint="eastAsia"/>
                <w:snapToGrid w:val="0"/>
                <w:szCs w:val="21"/>
              </w:rPr>
              <w:t>项</w:t>
            </w:r>
          </w:p>
        </w:tc>
        <w:tc>
          <w:tcPr>
            <w:tcW w:w="1134" w:type="dxa"/>
            <w:tcBorders>
              <w:top w:val="single" w:color="auto" w:sz="6" w:space="0"/>
              <w:left w:val="single" w:color="auto" w:sz="6" w:space="0"/>
              <w:bottom w:val="single" w:color="auto" w:sz="6" w:space="0"/>
              <w:right w:val="single" w:color="auto" w:sz="12" w:space="0"/>
            </w:tcBorders>
            <w:vAlign w:val="center"/>
          </w:tcPr>
          <w:p w14:paraId="0F45ADA7">
            <w:pPr>
              <w:spacing w:line="360" w:lineRule="auto"/>
              <w:jc w:val="left"/>
              <w:rPr>
                <w:rFonts w:ascii="宋体"/>
                <w:bCs/>
                <w:szCs w:val="21"/>
              </w:rPr>
            </w:pPr>
          </w:p>
        </w:tc>
      </w:tr>
    </w:tbl>
    <w:p w14:paraId="3F303799">
      <w:pPr>
        <w:pStyle w:val="6"/>
        <w:tabs>
          <w:tab w:val="left" w:pos="540"/>
        </w:tabs>
        <w:adjustRightInd w:val="0"/>
        <w:snapToGrid w:val="0"/>
        <w:spacing w:line="360" w:lineRule="auto"/>
        <w:rPr>
          <w:rFonts w:hAnsi="宋体"/>
          <w:b/>
          <w:bCs/>
          <w:sz w:val="21"/>
        </w:rPr>
      </w:pPr>
    </w:p>
    <w:p w14:paraId="74A5A84C">
      <w:pPr>
        <w:pStyle w:val="6"/>
        <w:numPr>
          <w:ilvl w:val="0"/>
          <w:numId w:val="1"/>
        </w:numPr>
        <w:tabs>
          <w:tab w:val="left" w:pos="540"/>
        </w:tabs>
        <w:adjustRightInd w:val="0"/>
        <w:snapToGrid w:val="0"/>
        <w:spacing w:line="360" w:lineRule="auto"/>
        <w:rPr>
          <w:rFonts w:hAnsi="宋体"/>
          <w:b/>
          <w:bCs/>
          <w:sz w:val="21"/>
        </w:rPr>
      </w:pPr>
      <w:r>
        <w:rPr>
          <w:rFonts w:hint="eastAsia" w:hAnsi="宋体"/>
          <w:b/>
          <w:bCs/>
          <w:sz w:val="21"/>
        </w:rPr>
        <w:t>技术要求：</w:t>
      </w:r>
    </w:p>
    <w:p w14:paraId="542C8518">
      <w:pPr>
        <w:pStyle w:val="6"/>
        <w:tabs>
          <w:tab w:val="left" w:pos="420"/>
          <w:tab w:val="left" w:pos="540"/>
        </w:tabs>
        <w:adjustRightInd w:val="0"/>
        <w:snapToGrid w:val="0"/>
        <w:spacing w:line="360" w:lineRule="auto"/>
        <w:rPr>
          <w:rFonts w:hAnsi="宋体"/>
          <w:bCs/>
          <w:sz w:val="21"/>
        </w:rPr>
      </w:pPr>
      <w:r>
        <w:rPr>
          <w:rFonts w:hint="eastAsia" w:hAnsi="宋体"/>
          <w:bCs/>
          <w:sz w:val="21"/>
        </w:rPr>
        <w:t>系统需具备以下功能</w:t>
      </w:r>
    </w:p>
    <w:tbl>
      <w:tblPr>
        <w:tblStyle w:val="1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6946"/>
      </w:tblGrid>
      <w:tr w14:paraId="3B089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17" w:type="dxa"/>
            <w:vAlign w:val="center"/>
          </w:tcPr>
          <w:p w14:paraId="2CFB44D3">
            <w:pPr>
              <w:jc w:val="center"/>
              <w:rPr>
                <w:rFonts w:ascii="宋体" w:hAnsi="宋体"/>
                <w:b/>
                <w:kern w:val="0"/>
                <w:szCs w:val="21"/>
              </w:rPr>
            </w:pPr>
            <w:r>
              <w:rPr>
                <w:rFonts w:hint="eastAsia" w:ascii="宋体" w:hAnsi="宋体"/>
                <w:b/>
                <w:kern w:val="0"/>
                <w:szCs w:val="21"/>
              </w:rPr>
              <w:t>序号</w:t>
            </w:r>
          </w:p>
        </w:tc>
        <w:tc>
          <w:tcPr>
            <w:tcW w:w="1134" w:type="dxa"/>
            <w:vAlign w:val="center"/>
          </w:tcPr>
          <w:p w14:paraId="08570A83">
            <w:pPr>
              <w:jc w:val="center"/>
              <w:rPr>
                <w:rFonts w:ascii="宋体" w:hAnsi="宋体"/>
                <w:b/>
                <w:kern w:val="0"/>
                <w:szCs w:val="21"/>
              </w:rPr>
            </w:pPr>
            <w:r>
              <w:rPr>
                <w:rFonts w:hint="eastAsia" w:ascii="宋体" w:hAnsi="宋体"/>
                <w:b/>
                <w:kern w:val="0"/>
                <w:szCs w:val="21"/>
              </w:rPr>
              <w:t>项目</w:t>
            </w:r>
          </w:p>
        </w:tc>
        <w:tc>
          <w:tcPr>
            <w:tcW w:w="6946" w:type="dxa"/>
            <w:vAlign w:val="center"/>
          </w:tcPr>
          <w:p w14:paraId="424C45BC">
            <w:pPr>
              <w:jc w:val="left"/>
              <w:rPr>
                <w:rFonts w:ascii="宋体" w:hAnsi="宋体"/>
                <w:b/>
                <w:kern w:val="0"/>
                <w:szCs w:val="21"/>
              </w:rPr>
            </w:pPr>
            <w:r>
              <w:rPr>
                <w:rFonts w:hint="eastAsia" w:ascii="宋体" w:hAnsi="宋体"/>
                <w:b/>
                <w:kern w:val="0"/>
                <w:szCs w:val="21"/>
              </w:rPr>
              <w:t>需求描述</w:t>
            </w:r>
          </w:p>
        </w:tc>
      </w:tr>
      <w:tr w14:paraId="1D11F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897" w:type="dxa"/>
            <w:gridSpan w:val="3"/>
            <w:vAlign w:val="center"/>
          </w:tcPr>
          <w:p w14:paraId="1F0AACB0">
            <w:pPr>
              <w:rPr>
                <w:rFonts w:hint="eastAsia" w:ascii="宋体" w:hAnsi="宋体"/>
                <w:b/>
                <w:color w:val="000000"/>
                <w:kern w:val="0"/>
                <w:szCs w:val="21"/>
              </w:rPr>
            </w:pPr>
            <w:r>
              <w:rPr>
                <w:rFonts w:hint="eastAsia" w:ascii="宋体" w:hAnsi="宋体"/>
                <w:b/>
                <w:color w:val="000000"/>
                <w:kern w:val="0"/>
                <w:szCs w:val="21"/>
              </w:rPr>
              <w:t>（一</w:t>
            </w:r>
            <w:r>
              <w:rPr>
                <w:rFonts w:ascii="宋体" w:hAnsi="宋体"/>
                <w:b/>
                <w:color w:val="000000"/>
                <w:kern w:val="0"/>
                <w:szCs w:val="21"/>
              </w:rPr>
              <w:t>）</w:t>
            </w:r>
            <w:r>
              <w:rPr>
                <w:rFonts w:hint="eastAsia" w:ascii="宋体" w:hAnsi="宋体"/>
                <w:b/>
                <w:color w:val="000000"/>
                <w:kern w:val="0"/>
                <w:szCs w:val="21"/>
              </w:rPr>
              <w:t>系统功能</w:t>
            </w:r>
          </w:p>
        </w:tc>
      </w:tr>
      <w:tr w14:paraId="34AD9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5E25A31C">
            <w:pPr>
              <w:jc w:val="center"/>
              <w:rPr>
                <w:rFonts w:ascii="宋体" w:hAnsi="宋体"/>
                <w:kern w:val="0"/>
                <w:szCs w:val="21"/>
              </w:rPr>
            </w:pPr>
            <w:r>
              <w:rPr>
                <w:rFonts w:hint="eastAsia" w:ascii="宋体" w:hAnsi="宋体"/>
                <w:kern w:val="0"/>
                <w:szCs w:val="21"/>
              </w:rPr>
              <w:t>1</w:t>
            </w:r>
          </w:p>
        </w:tc>
        <w:tc>
          <w:tcPr>
            <w:tcW w:w="1134" w:type="dxa"/>
            <w:vMerge w:val="restart"/>
            <w:vAlign w:val="center"/>
          </w:tcPr>
          <w:p w14:paraId="4B28412D">
            <w:pPr>
              <w:jc w:val="center"/>
              <w:rPr>
                <w:rFonts w:ascii="宋体" w:hAnsi="宋体"/>
                <w:kern w:val="0"/>
                <w:szCs w:val="21"/>
              </w:rPr>
            </w:pPr>
            <w:r>
              <w:rPr>
                <w:rFonts w:hint="eastAsia" w:ascii="宋体" w:hAnsi="宋体"/>
                <w:color w:val="000000"/>
                <w:kern w:val="0"/>
                <w:szCs w:val="21"/>
              </w:rPr>
              <w:t>基本功能</w:t>
            </w:r>
          </w:p>
        </w:tc>
        <w:tc>
          <w:tcPr>
            <w:tcW w:w="6946" w:type="dxa"/>
          </w:tcPr>
          <w:p w14:paraId="1CD93797">
            <w:pPr>
              <w:rPr>
                <w:rFonts w:ascii="宋体" w:hAnsi="宋体"/>
                <w:kern w:val="0"/>
                <w:szCs w:val="21"/>
              </w:rPr>
            </w:pPr>
            <w:r>
              <w:rPr>
                <w:rFonts w:hint="eastAsia" w:ascii="宋体" w:hAnsi="宋体"/>
                <w:bCs/>
                <w:szCs w:val="21"/>
              </w:rPr>
              <w:t>（1）</w:t>
            </w:r>
            <w:r>
              <w:rPr>
                <w:rFonts w:hint="eastAsia" w:ascii="宋体" w:hAnsi="宋体"/>
                <w:color w:val="000000"/>
                <w:kern w:val="0"/>
                <w:szCs w:val="21"/>
              </w:rPr>
              <w:t>支持多终端访问：要求系统支持PC、笔记本、手机等多种终端接入；可同时通过PC、微信公众号、小程序或APP访问系统，不受时间、场地限制上线访问服务器进行管理、培训、教学、评价、学习、考核。</w:t>
            </w:r>
          </w:p>
        </w:tc>
      </w:tr>
      <w:tr w14:paraId="6518E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3E339A8">
            <w:pPr>
              <w:jc w:val="center"/>
              <w:rPr>
                <w:rFonts w:ascii="宋体" w:hAnsi="宋体"/>
                <w:kern w:val="0"/>
                <w:szCs w:val="21"/>
              </w:rPr>
            </w:pPr>
          </w:p>
        </w:tc>
        <w:tc>
          <w:tcPr>
            <w:tcW w:w="1134" w:type="dxa"/>
            <w:vMerge w:val="continue"/>
            <w:vAlign w:val="center"/>
          </w:tcPr>
          <w:p w14:paraId="5BE963B2">
            <w:pPr>
              <w:jc w:val="center"/>
              <w:rPr>
                <w:rFonts w:ascii="宋体" w:hAnsi="宋体"/>
                <w:color w:val="000000"/>
                <w:kern w:val="0"/>
                <w:szCs w:val="21"/>
              </w:rPr>
            </w:pPr>
          </w:p>
        </w:tc>
        <w:tc>
          <w:tcPr>
            <w:tcW w:w="6946" w:type="dxa"/>
          </w:tcPr>
          <w:p w14:paraId="607105E1">
            <w:pPr>
              <w:rPr>
                <w:rFonts w:ascii="宋体" w:hAnsi="宋体"/>
                <w:color w:val="000000"/>
                <w:kern w:val="0"/>
                <w:szCs w:val="21"/>
              </w:rPr>
            </w:pPr>
            <w:r>
              <w:rPr>
                <w:rFonts w:hint="eastAsia" w:ascii="宋体" w:hAnsi="宋体"/>
                <w:bCs/>
                <w:szCs w:val="21"/>
              </w:rPr>
              <w:t>（</w:t>
            </w:r>
            <w:r>
              <w:rPr>
                <w:rFonts w:ascii="宋体" w:hAnsi="宋体"/>
                <w:bCs/>
                <w:szCs w:val="21"/>
              </w:rPr>
              <w:t>2</w:t>
            </w:r>
            <w:r>
              <w:rPr>
                <w:rFonts w:hint="eastAsia" w:ascii="宋体" w:hAnsi="宋体"/>
                <w:bCs/>
                <w:szCs w:val="21"/>
              </w:rPr>
              <w:t>）</w:t>
            </w:r>
            <w:r>
              <w:rPr>
                <w:rFonts w:hint="eastAsia" w:ascii="宋体" w:hAnsi="宋体"/>
                <w:color w:val="000000"/>
                <w:kern w:val="0"/>
                <w:szCs w:val="21"/>
              </w:rPr>
              <w:t>支持多用户端访问：系统支持医院端、学员端、学校端三种以上类别应用端，并可支持与本医院有教学合作关系的学校和医院基于关联教学事务的校院协同和院院协同。</w:t>
            </w:r>
          </w:p>
        </w:tc>
      </w:tr>
      <w:tr w14:paraId="0F4E0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11BDE33">
            <w:pPr>
              <w:jc w:val="center"/>
              <w:rPr>
                <w:rFonts w:ascii="宋体" w:hAnsi="宋体"/>
                <w:kern w:val="0"/>
                <w:szCs w:val="21"/>
              </w:rPr>
            </w:pPr>
          </w:p>
        </w:tc>
        <w:tc>
          <w:tcPr>
            <w:tcW w:w="1134" w:type="dxa"/>
            <w:vMerge w:val="continue"/>
            <w:vAlign w:val="center"/>
          </w:tcPr>
          <w:p w14:paraId="213E96D2">
            <w:pPr>
              <w:jc w:val="center"/>
              <w:rPr>
                <w:rFonts w:ascii="宋体" w:hAnsi="宋体"/>
                <w:color w:val="000000"/>
                <w:kern w:val="0"/>
                <w:szCs w:val="21"/>
              </w:rPr>
            </w:pPr>
          </w:p>
        </w:tc>
        <w:tc>
          <w:tcPr>
            <w:tcW w:w="6946" w:type="dxa"/>
          </w:tcPr>
          <w:p w14:paraId="1622A7D8">
            <w:pPr>
              <w:rPr>
                <w:rFonts w:ascii="宋体" w:hAnsi="宋体"/>
                <w:color w:val="000000"/>
                <w:kern w:val="0"/>
                <w:szCs w:val="21"/>
              </w:rPr>
            </w:pPr>
            <w:r>
              <w:rPr>
                <w:rFonts w:hint="eastAsia" w:ascii="宋体" w:hAnsi="宋体"/>
                <w:bCs/>
                <w:szCs w:val="21"/>
              </w:rPr>
              <w:t>▲（</w:t>
            </w:r>
            <w:r>
              <w:rPr>
                <w:rFonts w:ascii="宋体" w:hAnsi="宋体"/>
                <w:bCs/>
                <w:szCs w:val="21"/>
              </w:rPr>
              <w:t>3</w:t>
            </w:r>
            <w:r>
              <w:rPr>
                <w:rFonts w:hint="eastAsia" w:ascii="宋体" w:hAnsi="宋体"/>
                <w:bCs/>
                <w:szCs w:val="21"/>
              </w:rPr>
              <w:t>）</w:t>
            </w:r>
            <w:r>
              <w:rPr>
                <w:rFonts w:hint="eastAsia" w:ascii="宋体" w:hAnsi="宋体"/>
                <w:color w:val="000000"/>
                <w:kern w:val="0"/>
                <w:szCs w:val="21"/>
              </w:rPr>
              <w:t>支持学员类别便捷扩展：系统需支持便捷且低成本（不高于已采购学员类别的采购单价）的其他学员类型的扩展应用，以应对医院未来发展带来的其他学员类别新增的一站式分类教学管理的需求。</w:t>
            </w:r>
          </w:p>
        </w:tc>
      </w:tr>
      <w:tr w14:paraId="378D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D0FCD14">
            <w:pPr>
              <w:jc w:val="center"/>
              <w:rPr>
                <w:rFonts w:ascii="宋体" w:hAnsi="宋体"/>
                <w:kern w:val="0"/>
                <w:szCs w:val="21"/>
              </w:rPr>
            </w:pPr>
          </w:p>
        </w:tc>
        <w:tc>
          <w:tcPr>
            <w:tcW w:w="1134" w:type="dxa"/>
            <w:vMerge w:val="continue"/>
            <w:vAlign w:val="center"/>
          </w:tcPr>
          <w:p w14:paraId="594661AE">
            <w:pPr>
              <w:jc w:val="center"/>
              <w:rPr>
                <w:rFonts w:ascii="宋体" w:hAnsi="宋体"/>
                <w:color w:val="000000"/>
                <w:kern w:val="0"/>
                <w:szCs w:val="21"/>
              </w:rPr>
            </w:pPr>
          </w:p>
        </w:tc>
        <w:tc>
          <w:tcPr>
            <w:tcW w:w="6946" w:type="dxa"/>
          </w:tcPr>
          <w:p w14:paraId="3FE8599F">
            <w:pPr>
              <w:rPr>
                <w:rFonts w:ascii="宋体" w:hAnsi="宋体"/>
                <w:bCs/>
                <w:szCs w:val="21"/>
              </w:rPr>
            </w:pPr>
            <w:r>
              <w:rPr>
                <w:rFonts w:hint="eastAsia" w:ascii="宋体" w:hAnsi="宋体"/>
                <w:bCs/>
                <w:szCs w:val="21"/>
              </w:rPr>
              <w:t>（</w:t>
            </w:r>
            <w:r>
              <w:rPr>
                <w:rFonts w:ascii="宋体" w:hAnsi="宋体"/>
                <w:bCs/>
                <w:szCs w:val="21"/>
              </w:rPr>
              <w:t>4</w:t>
            </w:r>
            <w:r>
              <w:rPr>
                <w:rFonts w:hint="eastAsia" w:ascii="宋体" w:hAnsi="宋体"/>
                <w:bCs/>
                <w:szCs w:val="21"/>
              </w:rPr>
              <w:t>）支持全专业学员类别管理：系统可实现对医技药护所有专业的学员一站式分专业分类别分权限管理；</w:t>
            </w:r>
          </w:p>
        </w:tc>
      </w:tr>
      <w:tr w14:paraId="21B5C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7AD418A">
            <w:pPr>
              <w:jc w:val="center"/>
              <w:rPr>
                <w:rFonts w:ascii="宋体" w:hAnsi="宋体"/>
                <w:kern w:val="0"/>
                <w:szCs w:val="21"/>
              </w:rPr>
            </w:pPr>
          </w:p>
        </w:tc>
        <w:tc>
          <w:tcPr>
            <w:tcW w:w="1134" w:type="dxa"/>
            <w:vMerge w:val="continue"/>
            <w:vAlign w:val="center"/>
          </w:tcPr>
          <w:p w14:paraId="718C08B5">
            <w:pPr>
              <w:jc w:val="center"/>
              <w:rPr>
                <w:rFonts w:ascii="宋体" w:hAnsi="宋体"/>
                <w:color w:val="000000"/>
                <w:kern w:val="0"/>
                <w:szCs w:val="21"/>
              </w:rPr>
            </w:pPr>
          </w:p>
        </w:tc>
        <w:tc>
          <w:tcPr>
            <w:tcW w:w="6946" w:type="dxa"/>
          </w:tcPr>
          <w:p w14:paraId="2C06ECAE">
            <w:pPr>
              <w:rPr>
                <w:rFonts w:ascii="宋体" w:hAnsi="宋体"/>
                <w:color w:val="000000"/>
                <w:kern w:val="0"/>
                <w:szCs w:val="21"/>
              </w:rPr>
            </w:pPr>
            <w:r>
              <w:rPr>
                <w:rFonts w:hint="eastAsia" w:ascii="宋体" w:hAnsi="宋体"/>
                <w:bCs/>
                <w:szCs w:val="21"/>
              </w:rPr>
              <w:t>（</w:t>
            </w:r>
            <w:r>
              <w:rPr>
                <w:rFonts w:ascii="宋体" w:hAnsi="宋体"/>
                <w:bCs/>
                <w:szCs w:val="21"/>
              </w:rPr>
              <w:t>5</w:t>
            </w:r>
            <w:r>
              <w:rPr>
                <w:rFonts w:hint="eastAsia" w:ascii="宋体" w:hAnsi="宋体"/>
                <w:bCs/>
                <w:szCs w:val="21"/>
              </w:rPr>
              <w:t>）</w:t>
            </w:r>
            <w:r>
              <w:rPr>
                <w:rFonts w:hint="eastAsia" w:ascii="宋体" w:hAnsi="宋体"/>
                <w:color w:val="000000"/>
                <w:kern w:val="0"/>
                <w:szCs w:val="21"/>
              </w:rPr>
              <w:t>支持多级权限：系统支持全院级、教研室级、科室级、带教级的分级权限，并可实现角色和功能以及数据权限的自由配置。</w:t>
            </w:r>
          </w:p>
        </w:tc>
      </w:tr>
      <w:tr w14:paraId="3617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230CD95">
            <w:pPr>
              <w:jc w:val="center"/>
              <w:rPr>
                <w:rFonts w:ascii="宋体" w:hAnsi="宋体"/>
                <w:kern w:val="0"/>
                <w:szCs w:val="21"/>
              </w:rPr>
            </w:pPr>
          </w:p>
        </w:tc>
        <w:tc>
          <w:tcPr>
            <w:tcW w:w="1134" w:type="dxa"/>
            <w:vMerge w:val="continue"/>
            <w:vAlign w:val="center"/>
          </w:tcPr>
          <w:p w14:paraId="5DE1EDDE">
            <w:pPr>
              <w:jc w:val="center"/>
              <w:rPr>
                <w:rFonts w:ascii="宋体" w:hAnsi="宋体"/>
                <w:color w:val="000000"/>
                <w:kern w:val="0"/>
                <w:szCs w:val="21"/>
              </w:rPr>
            </w:pPr>
          </w:p>
        </w:tc>
        <w:tc>
          <w:tcPr>
            <w:tcW w:w="6946" w:type="dxa"/>
          </w:tcPr>
          <w:p w14:paraId="486E8E98">
            <w:pPr>
              <w:rPr>
                <w:rFonts w:ascii="宋体" w:hAnsi="宋体"/>
                <w:color w:val="000000"/>
                <w:kern w:val="0"/>
                <w:szCs w:val="21"/>
              </w:rPr>
            </w:pPr>
            <w:r>
              <w:rPr>
                <w:rFonts w:hint="eastAsia" w:ascii="宋体" w:hAnsi="宋体"/>
                <w:bCs/>
                <w:szCs w:val="21"/>
              </w:rPr>
              <w:t>（</w:t>
            </w:r>
            <w:r>
              <w:rPr>
                <w:rFonts w:ascii="宋体" w:hAnsi="宋体"/>
                <w:bCs/>
                <w:szCs w:val="21"/>
              </w:rPr>
              <w:t>6</w:t>
            </w:r>
            <w:r>
              <w:rPr>
                <w:rFonts w:hint="eastAsia" w:ascii="宋体" w:hAnsi="宋体"/>
                <w:bCs/>
                <w:szCs w:val="21"/>
              </w:rPr>
              <w:t>）</w:t>
            </w:r>
            <w:r>
              <w:rPr>
                <w:rFonts w:hint="eastAsia" w:ascii="宋体" w:hAnsi="宋体"/>
                <w:color w:val="000000"/>
                <w:kern w:val="0"/>
                <w:szCs w:val="21"/>
              </w:rPr>
              <w:t>支持全流程管理：系统支持本院各类学员从接收到培训/学习结束的全流程管理，包括学员分配、入科教育、教学活动、综合课表、评教评学、出科考核、教学台账等。</w:t>
            </w:r>
          </w:p>
        </w:tc>
      </w:tr>
      <w:tr w14:paraId="19106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7B5AA2AC">
            <w:pPr>
              <w:jc w:val="center"/>
              <w:rPr>
                <w:rFonts w:ascii="宋体" w:hAnsi="宋体"/>
                <w:kern w:val="0"/>
                <w:szCs w:val="21"/>
              </w:rPr>
            </w:pPr>
            <w:r>
              <w:rPr>
                <w:rFonts w:ascii="宋体" w:hAnsi="宋体"/>
                <w:kern w:val="0"/>
                <w:szCs w:val="21"/>
              </w:rPr>
              <w:t>2</w:t>
            </w:r>
          </w:p>
        </w:tc>
        <w:tc>
          <w:tcPr>
            <w:tcW w:w="1134" w:type="dxa"/>
            <w:vMerge w:val="restart"/>
            <w:vAlign w:val="center"/>
          </w:tcPr>
          <w:p w14:paraId="0F397FD5">
            <w:pPr>
              <w:jc w:val="center"/>
              <w:rPr>
                <w:rFonts w:ascii="宋体" w:hAnsi="宋体"/>
                <w:color w:val="000000"/>
                <w:kern w:val="0"/>
                <w:szCs w:val="21"/>
              </w:rPr>
            </w:pPr>
            <w:r>
              <w:rPr>
                <w:rFonts w:hint="eastAsia" w:ascii="宋体" w:hAnsi="宋体"/>
                <w:color w:val="000000"/>
                <w:kern w:val="0"/>
                <w:szCs w:val="21"/>
              </w:rPr>
              <w:t>教管系列</w:t>
            </w:r>
          </w:p>
        </w:tc>
        <w:tc>
          <w:tcPr>
            <w:tcW w:w="6946" w:type="dxa"/>
          </w:tcPr>
          <w:p w14:paraId="4C620907">
            <w:pPr>
              <w:rPr>
                <w:rFonts w:ascii="宋体" w:hAnsi="宋体"/>
                <w:color w:val="000000"/>
                <w:kern w:val="0"/>
                <w:szCs w:val="21"/>
              </w:rPr>
            </w:pPr>
            <w:r>
              <w:rPr>
                <w:rFonts w:hint="eastAsia" w:ascii="宋体" w:hAnsi="宋体"/>
                <w:bCs/>
                <w:szCs w:val="21"/>
              </w:rPr>
              <w:t>（1）</w:t>
            </w:r>
            <w:r>
              <w:rPr>
                <w:rFonts w:hint="eastAsia" w:ascii="宋体" w:hAnsi="宋体"/>
                <w:color w:val="000000"/>
                <w:kern w:val="0"/>
                <w:szCs w:val="21"/>
              </w:rPr>
              <w:t>学籍管理：学员信息分类管理功能；包含学员信息的接收、新增、编辑、删除、导入、导出、注册、审核、查询等，已付费学员类别不得限制学员的用户数量。</w:t>
            </w:r>
            <w:r>
              <w:rPr>
                <w:rFonts w:hint="eastAsia" w:ascii="宋体" w:hAnsi="宋体"/>
                <w:bCs/>
                <w:szCs w:val="21"/>
              </w:rPr>
              <w:t>需支持即开即用型的多</w:t>
            </w:r>
            <w:r>
              <w:rPr>
                <w:rFonts w:hint="eastAsia" w:ascii="宋体" w:hAnsi="宋体"/>
                <w:color w:val="000000"/>
                <w:kern w:val="0"/>
                <w:szCs w:val="21"/>
              </w:rPr>
              <w:t>学员类型扩展，类型不低于6种（见习、实习、规培、硕士、进修、全科等）</w:t>
            </w:r>
          </w:p>
        </w:tc>
      </w:tr>
      <w:tr w14:paraId="3F736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C26D4AC">
            <w:pPr>
              <w:jc w:val="center"/>
              <w:rPr>
                <w:rFonts w:ascii="宋体" w:hAnsi="宋体"/>
                <w:kern w:val="0"/>
                <w:szCs w:val="21"/>
              </w:rPr>
            </w:pPr>
          </w:p>
        </w:tc>
        <w:tc>
          <w:tcPr>
            <w:tcW w:w="1134" w:type="dxa"/>
            <w:vMerge w:val="continue"/>
            <w:vAlign w:val="center"/>
          </w:tcPr>
          <w:p w14:paraId="313FAA53">
            <w:pPr>
              <w:jc w:val="center"/>
              <w:rPr>
                <w:rFonts w:ascii="宋体" w:hAnsi="宋体"/>
                <w:color w:val="000000"/>
                <w:kern w:val="0"/>
                <w:szCs w:val="21"/>
              </w:rPr>
            </w:pPr>
          </w:p>
        </w:tc>
        <w:tc>
          <w:tcPr>
            <w:tcW w:w="6946" w:type="dxa"/>
          </w:tcPr>
          <w:p w14:paraId="731FD6D4">
            <w:pPr>
              <w:rPr>
                <w:rFonts w:ascii="宋体" w:hAnsi="宋体"/>
                <w:color w:val="000000"/>
                <w:kern w:val="0"/>
                <w:szCs w:val="21"/>
              </w:rPr>
            </w:pPr>
            <w:r>
              <w:rPr>
                <w:rFonts w:hint="eastAsia" w:ascii="宋体" w:hAnsi="宋体"/>
                <w:bCs/>
                <w:szCs w:val="21"/>
              </w:rPr>
              <w:t>▲（</w:t>
            </w:r>
            <w:r>
              <w:rPr>
                <w:rFonts w:ascii="宋体" w:hAnsi="宋体"/>
                <w:bCs/>
                <w:szCs w:val="21"/>
              </w:rPr>
              <w:t>2</w:t>
            </w:r>
            <w:r>
              <w:rPr>
                <w:rFonts w:hint="eastAsia" w:ascii="宋体" w:hAnsi="宋体"/>
                <w:bCs/>
                <w:szCs w:val="21"/>
              </w:rPr>
              <w:t>）</w:t>
            </w:r>
            <w:r>
              <w:rPr>
                <w:rFonts w:hint="eastAsia" w:ascii="宋体" w:hAnsi="宋体"/>
                <w:color w:val="000000"/>
                <w:kern w:val="0"/>
                <w:szCs w:val="21"/>
              </w:rPr>
              <w:t>轮科管理：学员的轮转管理功能；包含轮科表的新增、导入、导出、编辑、删除、查询、轮科视图查询、轮科分组管理、带教配置管理等；</w:t>
            </w:r>
          </w:p>
        </w:tc>
      </w:tr>
      <w:tr w14:paraId="4835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A4795F5">
            <w:pPr>
              <w:jc w:val="center"/>
              <w:rPr>
                <w:rFonts w:ascii="宋体" w:hAnsi="宋体"/>
                <w:kern w:val="0"/>
                <w:szCs w:val="21"/>
              </w:rPr>
            </w:pPr>
          </w:p>
        </w:tc>
        <w:tc>
          <w:tcPr>
            <w:tcW w:w="1134" w:type="dxa"/>
            <w:vMerge w:val="continue"/>
            <w:vAlign w:val="center"/>
          </w:tcPr>
          <w:p w14:paraId="2ED94B1A">
            <w:pPr>
              <w:jc w:val="center"/>
              <w:rPr>
                <w:rFonts w:ascii="宋体" w:hAnsi="宋体"/>
                <w:color w:val="000000"/>
                <w:kern w:val="0"/>
                <w:szCs w:val="21"/>
              </w:rPr>
            </w:pPr>
          </w:p>
        </w:tc>
        <w:tc>
          <w:tcPr>
            <w:tcW w:w="6946" w:type="dxa"/>
          </w:tcPr>
          <w:p w14:paraId="5319F866">
            <w:pPr>
              <w:rPr>
                <w:rFonts w:ascii="宋体" w:hAnsi="宋体"/>
                <w:bCs/>
                <w:szCs w:val="21"/>
              </w:rPr>
            </w:pPr>
            <w:r>
              <w:rPr>
                <w:rFonts w:hint="eastAsia" w:ascii="宋体" w:hAnsi="宋体"/>
                <w:bCs/>
                <w:szCs w:val="21"/>
              </w:rPr>
              <w:t>（</w:t>
            </w:r>
            <w:r>
              <w:rPr>
                <w:rFonts w:ascii="宋体" w:hAnsi="宋体"/>
                <w:bCs/>
                <w:szCs w:val="21"/>
              </w:rPr>
              <w:t>3</w:t>
            </w:r>
            <w:r>
              <w:rPr>
                <w:rFonts w:hint="eastAsia" w:ascii="宋体" w:hAnsi="宋体"/>
                <w:bCs/>
                <w:szCs w:val="21"/>
              </w:rPr>
              <w:t>）N</w:t>
            </w:r>
            <w:r>
              <w:rPr>
                <w:rFonts w:ascii="宋体" w:hAnsi="宋体"/>
                <w:bCs/>
                <w:szCs w:val="21"/>
              </w:rPr>
              <w:t>+2</w:t>
            </w:r>
            <w:r>
              <w:rPr>
                <w:rFonts w:hint="eastAsia" w:ascii="宋体" w:hAnsi="宋体"/>
                <w:bCs/>
                <w:szCs w:val="21"/>
              </w:rPr>
              <w:t>课表：3+2或2+2本科生的课程表管理功能；包含课表的录入、导入、导出、编辑、删除、查询、调课、授课老师配置、授课提醒等。</w:t>
            </w:r>
          </w:p>
          <w:p w14:paraId="039AA674">
            <w:pPr>
              <w:rPr>
                <w:rFonts w:ascii="宋体" w:hAnsi="宋体"/>
                <w:bCs/>
                <w:szCs w:val="21"/>
              </w:rPr>
            </w:pPr>
            <w:r>
              <w:rPr>
                <w:rFonts w:hint="eastAsia" w:ascii="宋体" w:hAnsi="宋体"/>
                <w:color w:val="000000"/>
                <w:kern w:val="0"/>
                <w:szCs w:val="21"/>
              </w:rPr>
              <w:t>需支持课节版本的自定义设置以应对不同班级对于上课时间的灵活需求；需支持授课老师对于课程教学内容以及课件等非调课需求参数的灵活编辑和补充；</w:t>
            </w:r>
          </w:p>
        </w:tc>
      </w:tr>
      <w:tr w14:paraId="1E13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BD1E092">
            <w:pPr>
              <w:jc w:val="center"/>
              <w:rPr>
                <w:rFonts w:ascii="宋体" w:hAnsi="宋体"/>
                <w:kern w:val="0"/>
                <w:szCs w:val="21"/>
              </w:rPr>
            </w:pPr>
          </w:p>
        </w:tc>
        <w:tc>
          <w:tcPr>
            <w:tcW w:w="1134" w:type="dxa"/>
            <w:vMerge w:val="continue"/>
            <w:vAlign w:val="center"/>
          </w:tcPr>
          <w:p w14:paraId="69C389E4">
            <w:pPr>
              <w:jc w:val="center"/>
              <w:rPr>
                <w:rFonts w:ascii="宋体" w:hAnsi="宋体"/>
                <w:color w:val="000000"/>
                <w:kern w:val="0"/>
                <w:szCs w:val="21"/>
              </w:rPr>
            </w:pPr>
          </w:p>
        </w:tc>
        <w:tc>
          <w:tcPr>
            <w:tcW w:w="6946" w:type="dxa"/>
          </w:tcPr>
          <w:p w14:paraId="4B0D711B">
            <w:pPr>
              <w:rPr>
                <w:rFonts w:ascii="宋体" w:hAnsi="宋体"/>
                <w:color w:val="000000"/>
                <w:kern w:val="0"/>
                <w:szCs w:val="21"/>
              </w:rPr>
            </w:pPr>
            <w:r>
              <w:rPr>
                <w:rFonts w:hint="eastAsia" w:ascii="宋体" w:hAnsi="宋体"/>
                <w:bCs/>
                <w:szCs w:val="21"/>
              </w:rPr>
              <w:t>（</w:t>
            </w:r>
            <w:r>
              <w:rPr>
                <w:rFonts w:ascii="宋体" w:hAnsi="宋体"/>
                <w:bCs/>
                <w:szCs w:val="21"/>
              </w:rPr>
              <w:t>4</w:t>
            </w:r>
            <w:r>
              <w:rPr>
                <w:rFonts w:hint="eastAsia" w:ascii="宋体" w:hAnsi="宋体"/>
                <w:bCs/>
                <w:szCs w:val="21"/>
              </w:rPr>
              <w:t>）</w:t>
            </w:r>
            <w:r>
              <w:rPr>
                <w:rFonts w:hint="eastAsia" w:ascii="宋体" w:hAnsi="宋体"/>
                <w:color w:val="000000"/>
                <w:kern w:val="0"/>
                <w:szCs w:val="21"/>
              </w:rPr>
              <w:t>考勤管理：学员的签到考勤分类分级管理功能；包含考勤查询、状态变更、补签和申诉的申请审批等，支持按科室设置打卡点、支持免考勤设置。</w:t>
            </w:r>
          </w:p>
        </w:tc>
      </w:tr>
      <w:tr w14:paraId="2DC3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941040D">
            <w:pPr>
              <w:jc w:val="center"/>
              <w:rPr>
                <w:rFonts w:ascii="宋体" w:hAnsi="宋体"/>
                <w:kern w:val="0"/>
                <w:szCs w:val="21"/>
              </w:rPr>
            </w:pPr>
          </w:p>
        </w:tc>
        <w:tc>
          <w:tcPr>
            <w:tcW w:w="1134" w:type="dxa"/>
            <w:vMerge w:val="continue"/>
            <w:vAlign w:val="center"/>
          </w:tcPr>
          <w:p w14:paraId="06E43650">
            <w:pPr>
              <w:jc w:val="center"/>
              <w:rPr>
                <w:rFonts w:ascii="宋体" w:hAnsi="宋体"/>
                <w:color w:val="000000"/>
                <w:kern w:val="0"/>
                <w:szCs w:val="21"/>
              </w:rPr>
            </w:pPr>
          </w:p>
        </w:tc>
        <w:tc>
          <w:tcPr>
            <w:tcW w:w="6946" w:type="dxa"/>
          </w:tcPr>
          <w:p w14:paraId="346D1BCF">
            <w:pPr>
              <w:rPr>
                <w:rFonts w:ascii="宋体" w:hAnsi="宋体"/>
                <w:color w:val="000000"/>
                <w:kern w:val="0"/>
                <w:szCs w:val="21"/>
              </w:rPr>
            </w:pPr>
            <w:r>
              <w:rPr>
                <w:rFonts w:hint="eastAsia" w:ascii="宋体" w:hAnsi="宋体"/>
                <w:bCs/>
                <w:szCs w:val="21"/>
              </w:rPr>
              <w:t>（</w:t>
            </w:r>
            <w:r>
              <w:rPr>
                <w:rFonts w:ascii="宋体" w:hAnsi="宋体"/>
                <w:bCs/>
                <w:szCs w:val="21"/>
              </w:rPr>
              <w:t>5</w:t>
            </w:r>
            <w:r>
              <w:rPr>
                <w:rFonts w:hint="eastAsia" w:ascii="宋体" w:hAnsi="宋体"/>
                <w:bCs/>
                <w:szCs w:val="21"/>
              </w:rPr>
              <w:t>）</w:t>
            </w:r>
            <w:r>
              <w:rPr>
                <w:rFonts w:hint="eastAsia" w:ascii="宋体" w:hAnsi="宋体"/>
                <w:color w:val="000000"/>
                <w:kern w:val="0"/>
                <w:szCs w:val="21"/>
              </w:rPr>
              <w:t>请假管理：学员的线上请假功能；包含请假流程的发起、审批、销假、查询、审批通知、请假数量统计、流程的定义设置等；</w:t>
            </w:r>
          </w:p>
          <w:p w14:paraId="01CB815B">
            <w:pPr>
              <w:rPr>
                <w:rFonts w:ascii="宋体" w:hAnsi="宋体"/>
                <w:color w:val="000000"/>
                <w:kern w:val="0"/>
                <w:szCs w:val="21"/>
              </w:rPr>
            </w:pPr>
            <w:r>
              <w:rPr>
                <w:rFonts w:hint="eastAsia" w:ascii="宋体" w:hAnsi="宋体"/>
                <w:bCs/>
                <w:szCs w:val="21"/>
              </w:rPr>
              <w:t>▲</w:t>
            </w:r>
            <w:r>
              <w:rPr>
                <w:rFonts w:hint="eastAsia" w:ascii="宋体" w:hAnsi="宋体"/>
                <w:color w:val="000000"/>
                <w:kern w:val="0"/>
                <w:szCs w:val="21"/>
              </w:rPr>
              <w:t>需支持请销一体化流程，支持依签、或签、会签等签批模式在单一流程的混合应用；</w:t>
            </w:r>
          </w:p>
        </w:tc>
      </w:tr>
      <w:tr w14:paraId="21009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2D62EB6">
            <w:pPr>
              <w:jc w:val="center"/>
              <w:rPr>
                <w:rFonts w:ascii="宋体" w:hAnsi="宋体"/>
                <w:kern w:val="0"/>
                <w:szCs w:val="21"/>
              </w:rPr>
            </w:pPr>
          </w:p>
        </w:tc>
        <w:tc>
          <w:tcPr>
            <w:tcW w:w="1134" w:type="dxa"/>
            <w:vMerge w:val="continue"/>
            <w:vAlign w:val="center"/>
          </w:tcPr>
          <w:p w14:paraId="10CB52B6">
            <w:pPr>
              <w:jc w:val="center"/>
              <w:rPr>
                <w:rFonts w:ascii="宋体" w:hAnsi="宋体"/>
                <w:color w:val="000000"/>
                <w:kern w:val="0"/>
                <w:szCs w:val="21"/>
              </w:rPr>
            </w:pPr>
          </w:p>
        </w:tc>
        <w:tc>
          <w:tcPr>
            <w:tcW w:w="6946" w:type="dxa"/>
          </w:tcPr>
          <w:p w14:paraId="40894D61">
            <w:pPr>
              <w:rPr>
                <w:rFonts w:ascii="宋体" w:hAnsi="宋体"/>
                <w:color w:val="000000"/>
                <w:kern w:val="0"/>
                <w:szCs w:val="21"/>
              </w:rPr>
            </w:pPr>
            <w:r>
              <w:rPr>
                <w:rFonts w:hint="eastAsia" w:ascii="宋体" w:hAnsi="宋体"/>
                <w:bCs/>
                <w:szCs w:val="21"/>
              </w:rPr>
              <w:t>（</w:t>
            </w:r>
            <w:r>
              <w:rPr>
                <w:rFonts w:ascii="宋体" w:hAnsi="宋体"/>
                <w:bCs/>
                <w:szCs w:val="21"/>
              </w:rPr>
              <w:t>6</w:t>
            </w:r>
            <w:r>
              <w:rPr>
                <w:rFonts w:hint="eastAsia" w:ascii="宋体" w:hAnsi="宋体"/>
                <w:bCs/>
                <w:szCs w:val="21"/>
              </w:rPr>
              <w:t>）</w:t>
            </w:r>
            <w:r>
              <w:rPr>
                <w:rFonts w:hint="eastAsia" w:ascii="宋体" w:hAnsi="宋体"/>
                <w:color w:val="000000"/>
                <w:kern w:val="0"/>
                <w:szCs w:val="21"/>
              </w:rPr>
              <w:t>不良事件：学员和老师的不良教学事件分级记录功能；包括记录的新增、编辑、删除、查看、导出等。</w:t>
            </w:r>
          </w:p>
        </w:tc>
      </w:tr>
      <w:tr w14:paraId="25B27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957BFAD">
            <w:pPr>
              <w:jc w:val="center"/>
              <w:rPr>
                <w:rFonts w:ascii="宋体" w:hAnsi="宋体"/>
                <w:kern w:val="0"/>
                <w:szCs w:val="21"/>
              </w:rPr>
            </w:pPr>
          </w:p>
        </w:tc>
        <w:tc>
          <w:tcPr>
            <w:tcW w:w="1134" w:type="dxa"/>
            <w:vMerge w:val="continue"/>
            <w:vAlign w:val="center"/>
          </w:tcPr>
          <w:p w14:paraId="2E2AAA81">
            <w:pPr>
              <w:jc w:val="center"/>
              <w:rPr>
                <w:rFonts w:ascii="宋体" w:hAnsi="宋体"/>
                <w:color w:val="000000"/>
                <w:kern w:val="0"/>
                <w:szCs w:val="21"/>
              </w:rPr>
            </w:pPr>
          </w:p>
        </w:tc>
        <w:tc>
          <w:tcPr>
            <w:tcW w:w="6946" w:type="dxa"/>
          </w:tcPr>
          <w:p w14:paraId="0C274648">
            <w:pPr>
              <w:rPr>
                <w:rFonts w:ascii="宋体" w:hAnsi="宋体"/>
                <w:color w:val="000000"/>
                <w:kern w:val="0"/>
                <w:szCs w:val="21"/>
              </w:rPr>
            </w:pPr>
            <w:r>
              <w:rPr>
                <w:rFonts w:hint="eastAsia" w:ascii="宋体" w:hAnsi="宋体"/>
                <w:bCs/>
                <w:szCs w:val="21"/>
              </w:rPr>
              <w:t>（</w:t>
            </w:r>
            <w:r>
              <w:rPr>
                <w:rFonts w:ascii="宋体" w:hAnsi="宋体"/>
                <w:bCs/>
                <w:szCs w:val="21"/>
              </w:rPr>
              <w:t>7</w:t>
            </w:r>
            <w:r>
              <w:rPr>
                <w:rFonts w:hint="eastAsia" w:ascii="宋体" w:hAnsi="宋体"/>
                <w:bCs/>
                <w:szCs w:val="21"/>
              </w:rPr>
              <w:t>）</w:t>
            </w:r>
            <w:r>
              <w:rPr>
                <w:rFonts w:hint="eastAsia" w:ascii="宋体" w:hAnsi="宋体"/>
                <w:color w:val="000000"/>
                <w:kern w:val="0"/>
                <w:szCs w:val="21"/>
              </w:rPr>
              <w:t>电子公函：教学合作机构间或本院内的电子公函的功能；包含公函的起草、编辑、删除、发送、接收等。</w:t>
            </w:r>
          </w:p>
        </w:tc>
      </w:tr>
      <w:tr w14:paraId="44DFD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CF80479">
            <w:pPr>
              <w:jc w:val="center"/>
              <w:rPr>
                <w:rFonts w:ascii="宋体" w:hAnsi="宋体"/>
                <w:kern w:val="0"/>
                <w:szCs w:val="21"/>
              </w:rPr>
            </w:pPr>
          </w:p>
        </w:tc>
        <w:tc>
          <w:tcPr>
            <w:tcW w:w="1134" w:type="dxa"/>
            <w:vMerge w:val="continue"/>
            <w:vAlign w:val="center"/>
          </w:tcPr>
          <w:p w14:paraId="61D06D3F">
            <w:pPr>
              <w:jc w:val="center"/>
              <w:rPr>
                <w:rFonts w:ascii="宋体" w:hAnsi="宋体"/>
                <w:color w:val="000000"/>
                <w:kern w:val="0"/>
                <w:szCs w:val="21"/>
              </w:rPr>
            </w:pPr>
          </w:p>
        </w:tc>
        <w:tc>
          <w:tcPr>
            <w:tcW w:w="6946" w:type="dxa"/>
          </w:tcPr>
          <w:p w14:paraId="13FBFB2E">
            <w:pPr>
              <w:rPr>
                <w:rFonts w:hint="eastAsia" w:ascii="宋体" w:hAnsi="宋体"/>
                <w:bCs/>
                <w:szCs w:val="21"/>
              </w:rPr>
            </w:pPr>
            <w:r>
              <w:rPr>
                <w:rFonts w:hint="eastAsia" w:ascii="宋体" w:hAnsi="宋体"/>
                <w:bCs/>
                <w:szCs w:val="21"/>
              </w:rPr>
              <w:t>（</w:t>
            </w:r>
            <w:r>
              <w:rPr>
                <w:rFonts w:ascii="宋体" w:hAnsi="宋体"/>
                <w:bCs/>
                <w:szCs w:val="21"/>
              </w:rPr>
              <w:t>8</w:t>
            </w:r>
            <w:r>
              <w:rPr>
                <w:rFonts w:hint="eastAsia" w:ascii="宋体" w:hAnsi="宋体"/>
                <w:bCs/>
                <w:szCs w:val="21"/>
              </w:rPr>
              <w:t>）</w:t>
            </w:r>
            <w:r>
              <w:rPr>
                <w:rFonts w:hint="eastAsia" w:ascii="宋体" w:hAnsi="宋体"/>
                <w:color w:val="000000"/>
                <w:kern w:val="0"/>
                <w:szCs w:val="21"/>
              </w:rPr>
              <w:t>通知公告：本院教学相关的通知公告类发布管理功能；包含各类制度公告的新增、编辑、发布、删除、查看，分类设置等。</w:t>
            </w:r>
          </w:p>
        </w:tc>
      </w:tr>
      <w:tr w14:paraId="3EF7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D2B31F8">
            <w:pPr>
              <w:jc w:val="center"/>
              <w:rPr>
                <w:rFonts w:ascii="宋体" w:hAnsi="宋体"/>
                <w:kern w:val="0"/>
                <w:szCs w:val="21"/>
              </w:rPr>
            </w:pPr>
          </w:p>
        </w:tc>
        <w:tc>
          <w:tcPr>
            <w:tcW w:w="1134" w:type="dxa"/>
            <w:vMerge w:val="continue"/>
            <w:vAlign w:val="center"/>
          </w:tcPr>
          <w:p w14:paraId="2D28E16B">
            <w:pPr>
              <w:jc w:val="center"/>
              <w:rPr>
                <w:rFonts w:ascii="宋体" w:hAnsi="宋体"/>
                <w:color w:val="000000"/>
                <w:kern w:val="0"/>
                <w:szCs w:val="21"/>
              </w:rPr>
            </w:pPr>
          </w:p>
        </w:tc>
        <w:tc>
          <w:tcPr>
            <w:tcW w:w="6946" w:type="dxa"/>
          </w:tcPr>
          <w:p w14:paraId="54E6C9AC">
            <w:pPr>
              <w:spacing w:line="360" w:lineRule="auto"/>
              <w:rPr>
                <w:rFonts w:ascii="宋体"/>
                <w:color w:val="0C0C0C" w:themeColor="text1" w:themeTint="F2"/>
                <w:kern w:val="0"/>
                <w:szCs w:val="21"/>
              </w:rPr>
            </w:pPr>
            <w:r>
              <w:rPr>
                <w:rFonts w:hint="eastAsia" w:ascii="宋体"/>
                <w:bCs/>
                <w:color w:val="0C0C0C" w:themeColor="text1" w:themeTint="F2"/>
                <w:szCs w:val="21"/>
              </w:rPr>
              <w:t>（</w:t>
            </w:r>
            <w:r>
              <w:rPr>
                <w:rFonts w:ascii="宋体"/>
                <w:bCs/>
                <w:color w:val="0C0C0C" w:themeColor="text1" w:themeTint="F2"/>
                <w:szCs w:val="21"/>
              </w:rPr>
              <w:t>9</w:t>
            </w:r>
            <w:r>
              <w:rPr>
                <w:rFonts w:hint="eastAsia" w:ascii="宋体"/>
                <w:bCs/>
                <w:color w:val="0C0C0C" w:themeColor="text1" w:themeTint="F2"/>
                <w:szCs w:val="21"/>
              </w:rPr>
              <w:t>）学时(带教</w:t>
            </w:r>
            <w:r>
              <w:rPr>
                <w:rFonts w:ascii="宋体"/>
                <w:bCs/>
                <w:color w:val="0C0C0C" w:themeColor="text1" w:themeTint="F2"/>
                <w:szCs w:val="21"/>
              </w:rPr>
              <w:t>)</w:t>
            </w:r>
            <w:r>
              <w:rPr>
                <w:rFonts w:hint="eastAsia" w:ascii="宋体"/>
                <w:bCs/>
                <w:color w:val="0C0C0C" w:themeColor="text1" w:themeTint="F2"/>
                <w:szCs w:val="21"/>
              </w:rPr>
              <w:t>管理</w:t>
            </w:r>
            <w:r>
              <w:rPr>
                <w:rFonts w:hint="eastAsia" w:ascii="宋体"/>
                <w:color w:val="0C0C0C" w:themeColor="text1" w:themeTint="F2"/>
                <w:kern w:val="0"/>
                <w:szCs w:val="21"/>
              </w:rPr>
              <w:t>：本院带教人员教学学时核算管理与统计功能；包含各类学时授予规则设置、学时明细分类统计、学时记录有效性审核、学时查询等；</w:t>
            </w:r>
          </w:p>
          <w:p w14:paraId="145C961F">
            <w:pPr>
              <w:rPr>
                <w:rFonts w:hint="eastAsia" w:ascii="宋体" w:hAnsi="宋体"/>
                <w:bCs/>
                <w:szCs w:val="21"/>
              </w:rPr>
            </w:pPr>
            <w:r>
              <w:rPr>
                <w:rFonts w:hint="eastAsia" w:ascii="宋体"/>
                <w:bCs/>
                <w:color w:val="0C0C0C" w:themeColor="text1" w:themeTint="F2"/>
                <w:szCs w:val="21"/>
              </w:rPr>
              <w:t>▲</w:t>
            </w:r>
            <w:r>
              <w:rPr>
                <w:rFonts w:hint="eastAsia" w:ascii="宋体"/>
                <w:color w:val="0C0C0C" w:themeColor="text1" w:themeTint="F2"/>
                <w:kern w:val="0"/>
                <w:szCs w:val="21"/>
              </w:rPr>
              <w:t>需支持按带教人员的职称级别系数以及带教学员、主持活动、学员考评、学生作业批阅、管理学时等不同的工作维度进行定义统计；支持按不同的学员类别统计。</w:t>
            </w:r>
          </w:p>
        </w:tc>
      </w:tr>
      <w:tr w14:paraId="43785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827C78F">
            <w:pPr>
              <w:jc w:val="center"/>
              <w:rPr>
                <w:rFonts w:ascii="宋体" w:hAnsi="宋体"/>
                <w:kern w:val="0"/>
                <w:szCs w:val="21"/>
              </w:rPr>
            </w:pPr>
          </w:p>
        </w:tc>
        <w:tc>
          <w:tcPr>
            <w:tcW w:w="1134" w:type="dxa"/>
            <w:vMerge w:val="continue"/>
            <w:vAlign w:val="center"/>
          </w:tcPr>
          <w:p w14:paraId="24D9E563">
            <w:pPr>
              <w:jc w:val="center"/>
              <w:rPr>
                <w:rFonts w:ascii="宋体" w:hAnsi="宋体"/>
                <w:color w:val="000000"/>
                <w:kern w:val="0"/>
                <w:szCs w:val="21"/>
              </w:rPr>
            </w:pPr>
          </w:p>
        </w:tc>
        <w:tc>
          <w:tcPr>
            <w:tcW w:w="6946" w:type="dxa"/>
          </w:tcPr>
          <w:p w14:paraId="7D2C8304">
            <w:pPr>
              <w:rPr>
                <w:rFonts w:ascii="宋体" w:hAnsi="宋体"/>
                <w:color w:val="000000"/>
                <w:kern w:val="0"/>
                <w:szCs w:val="21"/>
              </w:rPr>
            </w:pPr>
            <w:r>
              <w:rPr>
                <w:rFonts w:hint="eastAsia" w:ascii="宋体"/>
                <w:bCs/>
                <w:color w:val="0C0C0C" w:themeColor="text1" w:themeTint="F2"/>
                <w:szCs w:val="21"/>
              </w:rPr>
              <w:t>（</w:t>
            </w:r>
            <w:r>
              <w:rPr>
                <w:rFonts w:ascii="宋体"/>
                <w:bCs/>
                <w:color w:val="0C0C0C" w:themeColor="text1" w:themeTint="F2"/>
                <w:szCs w:val="21"/>
              </w:rPr>
              <w:t>10</w:t>
            </w:r>
            <w:r>
              <w:rPr>
                <w:rFonts w:hint="eastAsia" w:ascii="宋体"/>
                <w:bCs/>
                <w:color w:val="0C0C0C" w:themeColor="text1" w:themeTint="F2"/>
                <w:szCs w:val="21"/>
              </w:rPr>
              <w:t>）荣誉管理</w:t>
            </w:r>
            <w:r>
              <w:rPr>
                <w:rFonts w:hint="eastAsia" w:ascii="宋体"/>
                <w:color w:val="0C0C0C" w:themeColor="text1" w:themeTint="F2"/>
                <w:kern w:val="0"/>
                <w:szCs w:val="21"/>
              </w:rPr>
              <w:t>：本院教学人员、学员、科室、机构在院内外获得教学相关的荣誉记录；包含各类荣誉的新增、编辑、删除、查看，统计等。需支持在学员移动端和带教移动端有醒目的荣誉标识，以激励教学人员的荣誉获得感。</w:t>
            </w:r>
          </w:p>
        </w:tc>
      </w:tr>
      <w:tr w14:paraId="74CF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2977E91B">
            <w:pPr>
              <w:jc w:val="center"/>
              <w:rPr>
                <w:rFonts w:ascii="宋体" w:hAnsi="宋体"/>
                <w:kern w:val="0"/>
                <w:szCs w:val="21"/>
              </w:rPr>
            </w:pPr>
            <w:r>
              <w:rPr>
                <w:rFonts w:ascii="宋体" w:hAnsi="宋体"/>
                <w:kern w:val="0"/>
                <w:szCs w:val="21"/>
              </w:rPr>
              <w:t>3</w:t>
            </w:r>
          </w:p>
        </w:tc>
        <w:tc>
          <w:tcPr>
            <w:tcW w:w="1134" w:type="dxa"/>
            <w:vMerge w:val="restart"/>
            <w:vAlign w:val="center"/>
          </w:tcPr>
          <w:p w14:paraId="70353358">
            <w:pPr>
              <w:jc w:val="center"/>
              <w:rPr>
                <w:rFonts w:ascii="宋体" w:hAnsi="宋体"/>
                <w:color w:val="000000"/>
                <w:kern w:val="0"/>
                <w:szCs w:val="21"/>
              </w:rPr>
            </w:pPr>
            <w:r>
              <w:rPr>
                <w:rFonts w:hint="eastAsia" w:ascii="宋体" w:hAnsi="宋体"/>
                <w:color w:val="000000"/>
                <w:kern w:val="0"/>
                <w:szCs w:val="21"/>
              </w:rPr>
              <w:t>教学系列</w:t>
            </w:r>
          </w:p>
        </w:tc>
        <w:tc>
          <w:tcPr>
            <w:tcW w:w="6946" w:type="dxa"/>
          </w:tcPr>
          <w:p w14:paraId="5ECA6FED">
            <w:pPr>
              <w:rPr>
                <w:rFonts w:ascii="宋体" w:hAnsi="宋体"/>
                <w:color w:val="000000"/>
                <w:kern w:val="0"/>
                <w:szCs w:val="21"/>
              </w:rPr>
            </w:pPr>
            <w:r>
              <w:rPr>
                <w:rFonts w:hint="eastAsia" w:ascii="宋体" w:hAnsi="宋体"/>
                <w:bCs/>
                <w:szCs w:val="21"/>
              </w:rPr>
              <w:t>（1）</w:t>
            </w:r>
            <w:r>
              <w:rPr>
                <w:rFonts w:hint="eastAsia" w:ascii="宋体" w:hAnsi="宋体"/>
                <w:color w:val="000000"/>
                <w:kern w:val="0"/>
                <w:szCs w:val="21"/>
              </w:rPr>
              <w:t>教培大纲：各类学员分专业/专业方向的培训计划、教学大纲的管理功能，核心包含培训目标、轮转计划、教与学的内容要求、考评要求等；包含大纲核心内容的版本管理、核心内容的新增、编辑、删除、查看等；支持按质量要求和数量要求两类设置指标。</w:t>
            </w:r>
          </w:p>
        </w:tc>
      </w:tr>
      <w:tr w14:paraId="52360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5F983CC">
            <w:pPr>
              <w:jc w:val="center"/>
              <w:rPr>
                <w:rFonts w:ascii="宋体" w:hAnsi="宋体"/>
                <w:kern w:val="0"/>
                <w:szCs w:val="21"/>
              </w:rPr>
            </w:pPr>
          </w:p>
        </w:tc>
        <w:tc>
          <w:tcPr>
            <w:tcW w:w="1134" w:type="dxa"/>
            <w:vMerge w:val="continue"/>
            <w:vAlign w:val="center"/>
          </w:tcPr>
          <w:p w14:paraId="65BB43E5">
            <w:pPr>
              <w:jc w:val="center"/>
              <w:rPr>
                <w:rFonts w:ascii="宋体" w:hAnsi="宋体"/>
                <w:color w:val="000000"/>
                <w:kern w:val="0"/>
                <w:szCs w:val="21"/>
              </w:rPr>
            </w:pPr>
          </w:p>
        </w:tc>
        <w:tc>
          <w:tcPr>
            <w:tcW w:w="6946" w:type="dxa"/>
          </w:tcPr>
          <w:p w14:paraId="4895BA6A">
            <w:pPr>
              <w:rPr>
                <w:rFonts w:ascii="宋体" w:hAnsi="宋体"/>
                <w:bCs/>
                <w:szCs w:val="21"/>
              </w:rPr>
            </w:pPr>
            <w:r>
              <w:rPr>
                <w:rFonts w:hint="eastAsia" w:ascii="宋体" w:hAnsi="宋体"/>
                <w:bCs/>
                <w:szCs w:val="21"/>
              </w:rPr>
              <w:t>（</w:t>
            </w:r>
            <w:r>
              <w:rPr>
                <w:rFonts w:ascii="宋体" w:hAnsi="宋体"/>
                <w:bCs/>
                <w:szCs w:val="21"/>
              </w:rPr>
              <w:t>2</w:t>
            </w:r>
            <w:r>
              <w:rPr>
                <w:rFonts w:hint="eastAsia" w:ascii="宋体" w:hAnsi="宋体"/>
                <w:bCs/>
                <w:szCs w:val="21"/>
              </w:rPr>
              <w:t>）</w:t>
            </w:r>
            <w:r>
              <w:rPr>
                <w:rFonts w:hint="eastAsia" w:ascii="宋体" w:hAnsi="宋体"/>
                <w:color w:val="000000"/>
                <w:kern w:val="0"/>
                <w:szCs w:val="21"/>
              </w:rPr>
              <w:t>教学计划：年度、季度、月度教学计划分级管理功能；包含计划的新增、编辑、删除、查看、添补，计划提交任务的发布、提交、审核、进度、催交等。</w:t>
            </w:r>
          </w:p>
        </w:tc>
      </w:tr>
      <w:tr w14:paraId="39740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B2D9949">
            <w:pPr>
              <w:jc w:val="center"/>
              <w:rPr>
                <w:rFonts w:ascii="宋体" w:hAnsi="宋体"/>
                <w:kern w:val="0"/>
                <w:szCs w:val="21"/>
              </w:rPr>
            </w:pPr>
          </w:p>
        </w:tc>
        <w:tc>
          <w:tcPr>
            <w:tcW w:w="1134" w:type="dxa"/>
            <w:vMerge w:val="continue"/>
            <w:vAlign w:val="center"/>
          </w:tcPr>
          <w:p w14:paraId="6CE20DBF">
            <w:pPr>
              <w:jc w:val="center"/>
              <w:rPr>
                <w:rFonts w:ascii="宋体" w:hAnsi="宋体"/>
                <w:color w:val="000000"/>
                <w:kern w:val="0"/>
                <w:szCs w:val="21"/>
              </w:rPr>
            </w:pPr>
          </w:p>
        </w:tc>
        <w:tc>
          <w:tcPr>
            <w:tcW w:w="6946" w:type="dxa"/>
          </w:tcPr>
          <w:p w14:paraId="3779AAAB">
            <w:pPr>
              <w:rPr>
                <w:rFonts w:ascii="宋体" w:hAnsi="宋体"/>
                <w:bCs/>
                <w:szCs w:val="21"/>
              </w:rPr>
            </w:pPr>
            <w:r>
              <w:rPr>
                <w:rFonts w:hint="eastAsia" w:ascii="宋体" w:hAnsi="宋体"/>
                <w:bCs/>
                <w:szCs w:val="21"/>
              </w:rPr>
              <w:t>（3）内训计划：年度、季度、月度、院级、片区、专科/病区的护理教育计划及培训清单的分级管理功能；包含计划的新增、编辑、删除、查看、修正等，支持培训清单关联内训活动。</w:t>
            </w:r>
          </w:p>
        </w:tc>
      </w:tr>
      <w:tr w14:paraId="7B84A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B25A3CB">
            <w:pPr>
              <w:jc w:val="center"/>
              <w:rPr>
                <w:rFonts w:ascii="宋体" w:hAnsi="宋体"/>
                <w:kern w:val="0"/>
                <w:szCs w:val="21"/>
              </w:rPr>
            </w:pPr>
          </w:p>
        </w:tc>
        <w:tc>
          <w:tcPr>
            <w:tcW w:w="1134" w:type="dxa"/>
            <w:vMerge w:val="continue"/>
            <w:vAlign w:val="center"/>
          </w:tcPr>
          <w:p w14:paraId="2835DF71">
            <w:pPr>
              <w:jc w:val="center"/>
              <w:rPr>
                <w:rFonts w:ascii="宋体" w:hAnsi="宋体"/>
                <w:color w:val="000000"/>
                <w:kern w:val="0"/>
                <w:szCs w:val="21"/>
              </w:rPr>
            </w:pPr>
          </w:p>
        </w:tc>
        <w:tc>
          <w:tcPr>
            <w:tcW w:w="6946" w:type="dxa"/>
          </w:tcPr>
          <w:p w14:paraId="5042548C">
            <w:pPr>
              <w:rPr>
                <w:rFonts w:ascii="宋体" w:hAnsi="宋体"/>
                <w:color w:val="000000"/>
                <w:kern w:val="0"/>
                <w:szCs w:val="21"/>
              </w:rPr>
            </w:pPr>
            <w:r>
              <w:rPr>
                <w:rFonts w:hint="eastAsia" w:ascii="宋体" w:hAnsi="宋体"/>
                <w:bCs/>
                <w:szCs w:val="21"/>
              </w:rPr>
              <w:t>（4）</w:t>
            </w:r>
            <w:r>
              <w:rPr>
                <w:rFonts w:hint="eastAsia" w:ascii="宋体" w:hAnsi="宋体"/>
                <w:color w:val="000000"/>
                <w:kern w:val="0"/>
                <w:szCs w:val="21"/>
              </w:rPr>
              <w:t>资源中心：教学类课件、教案、音视频等管理功能，包含各类教学资源的新增、编辑、删除、查看、共享等；需支持xls、xlsx、doc、docx、ppt、pptx、pdf、txt、rar、zip、png、gif、</w:t>
            </w:r>
            <w:r>
              <w:rPr>
                <w:rFonts w:ascii="宋体" w:hAnsi="宋体"/>
                <w:color w:val="000000"/>
                <w:kern w:val="0"/>
                <w:szCs w:val="21"/>
              </w:rPr>
              <w:t>mp4</w:t>
            </w:r>
            <w:r>
              <w:rPr>
                <w:rFonts w:hint="eastAsia" w:ascii="宋体" w:hAnsi="宋体"/>
                <w:color w:val="000000"/>
                <w:kern w:val="0"/>
                <w:szCs w:val="21"/>
              </w:rPr>
              <w:t>、</w:t>
            </w:r>
            <w:r>
              <w:rPr>
                <w:rFonts w:ascii="宋体" w:hAnsi="宋体"/>
                <w:color w:val="000000"/>
                <w:kern w:val="0"/>
                <w:szCs w:val="21"/>
              </w:rPr>
              <w:t>mp3</w:t>
            </w:r>
            <w:r>
              <w:rPr>
                <w:rFonts w:hint="eastAsia" w:ascii="宋体" w:hAnsi="宋体"/>
                <w:color w:val="000000"/>
                <w:kern w:val="0"/>
                <w:szCs w:val="21"/>
              </w:rPr>
              <w:t>、</w:t>
            </w:r>
            <w:r>
              <w:rPr>
                <w:rFonts w:ascii="宋体" w:hAnsi="宋体"/>
                <w:color w:val="000000"/>
                <w:kern w:val="0"/>
                <w:szCs w:val="21"/>
              </w:rPr>
              <w:t>wav</w:t>
            </w:r>
            <w:r>
              <w:rPr>
                <w:rFonts w:hint="eastAsia" w:ascii="宋体" w:hAnsi="宋体"/>
                <w:color w:val="000000"/>
                <w:kern w:val="0"/>
                <w:szCs w:val="21"/>
              </w:rPr>
              <w:t>、</w:t>
            </w:r>
            <w:r>
              <w:rPr>
                <w:rFonts w:ascii="宋体" w:hAnsi="宋体"/>
                <w:color w:val="000000"/>
                <w:kern w:val="0"/>
                <w:szCs w:val="21"/>
              </w:rPr>
              <w:t>aac</w:t>
            </w:r>
            <w:r>
              <w:rPr>
                <w:rFonts w:hint="eastAsia" w:ascii="宋体" w:hAnsi="宋体"/>
                <w:color w:val="000000"/>
                <w:kern w:val="0"/>
                <w:szCs w:val="21"/>
              </w:rPr>
              <w:t>、</w:t>
            </w:r>
            <w:r>
              <w:rPr>
                <w:rFonts w:ascii="宋体" w:hAnsi="宋体"/>
                <w:color w:val="000000"/>
                <w:kern w:val="0"/>
                <w:szCs w:val="21"/>
              </w:rPr>
              <w:t>m3u8</w:t>
            </w:r>
            <w:r>
              <w:rPr>
                <w:rFonts w:hint="eastAsia" w:ascii="宋体" w:hAnsi="宋体"/>
                <w:color w:val="000000"/>
                <w:kern w:val="0"/>
                <w:szCs w:val="21"/>
              </w:rPr>
              <w:t>等多种文件和音视频格式，支持分个人、科室、全院、平台四级共享。</w:t>
            </w:r>
          </w:p>
        </w:tc>
      </w:tr>
      <w:tr w14:paraId="27701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1EC784E">
            <w:pPr>
              <w:jc w:val="center"/>
              <w:rPr>
                <w:rFonts w:ascii="宋体" w:hAnsi="宋体"/>
                <w:kern w:val="0"/>
                <w:szCs w:val="21"/>
              </w:rPr>
            </w:pPr>
          </w:p>
        </w:tc>
        <w:tc>
          <w:tcPr>
            <w:tcW w:w="1134" w:type="dxa"/>
            <w:vMerge w:val="continue"/>
            <w:vAlign w:val="center"/>
          </w:tcPr>
          <w:p w14:paraId="3D9D42A6">
            <w:pPr>
              <w:jc w:val="center"/>
              <w:rPr>
                <w:rFonts w:ascii="宋体" w:hAnsi="宋体"/>
                <w:color w:val="000000"/>
                <w:kern w:val="0"/>
                <w:szCs w:val="21"/>
              </w:rPr>
            </w:pPr>
          </w:p>
        </w:tc>
        <w:tc>
          <w:tcPr>
            <w:tcW w:w="6946" w:type="dxa"/>
          </w:tcPr>
          <w:p w14:paraId="509C39A9">
            <w:pPr>
              <w:rPr>
                <w:rFonts w:ascii="宋体" w:hAnsi="宋体"/>
                <w:color w:val="000000"/>
                <w:kern w:val="0"/>
                <w:szCs w:val="21"/>
              </w:rPr>
            </w:pPr>
            <w:r>
              <w:rPr>
                <w:rFonts w:hint="eastAsia" w:ascii="宋体" w:hAnsi="宋体"/>
                <w:bCs/>
                <w:szCs w:val="21"/>
              </w:rPr>
              <w:t>（</w:t>
            </w:r>
            <w:r>
              <w:rPr>
                <w:rFonts w:ascii="宋体" w:hAnsi="宋体"/>
                <w:bCs/>
                <w:szCs w:val="21"/>
              </w:rPr>
              <w:t>4</w:t>
            </w:r>
            <w:r>
              <w:rPr>
                <w:rFonts w:hint="eastAsia" w:ascii="宋体" w:hAnsi="宋体"/>
                <w:bCs/>
                <w:szCs w:val="21"/>
              </w:rPr>
              <w:t>）</w:t>
            </w:r>
            <w:r>
              <w:rPr>
                <w:rFonts w:hint="eastAsia" w:ascii="宋体" w:hAnsi="宋体"/>
                <w:color w:val="000000"/>
                <w:kern w:val="0"/>
                <w:szCs w:val="21"/>
              </w:rPr>
              <w:t>教学活动：日常各类线下教学活动的分级管理功能，包含活动的新增、编辑、发布、查看、删除、通知、活动签到、课堂笔记、过程记录、台账归档等；需支持按活动类型+科室设置是否需要评价和是否需要过程记录。</w:t>
            </w:r>
          </w:p>
        </w:tc>
      </w:tr>
      <w:tr w14:paraId="6D5C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054C5A9">
            <w:pPr>
              <w:jc w:val="center"/>
              <w:rPr>
                <w:rFonts w:ascii="宋体" w:hAnsi="宋体"/>
                <w:kern w:val="0"/>
                <w:szCs w:val="21"/>
              </w:rPr>
            </w:pPr>
          </w:p>
        </w:tc>
        <w:tc>
          <w:tcPr>
            <w:tcW w:w="1134" w:type="dxa"/>
            <w:vMerge w:val="continue"/>
            <w:vAlign w:val="center"/>
          </w:tcPr>
          <w:p w14:paraId="506E32E4">
            <w:pPr>
              <w:jc w:val="center"/>
              <w:rPr>
                <w:rFonts w:ascii="宋体" w:hAnsi="宋体"/>
                <w:color w:val="000000"/>
                <w:kern w:val="0"/>
                <w:szCs w:val="21"/>
              </w:rPr>
            </w:pPr>
          </w:p>
        </w:tc>
        <w:tc>
          <w:tcPr>
            <w:tcW w:w="6946" w:type="dxa"/>
          </w:tcPr>
          <w:p w14:paraId="26F0310A">
            <w:pPr>
              <w:rPr>
                <w:rFonts w:ascii="宋体" w:hAnsi="宋体"/>
                <w:color w:val="000000"/>
                <w:kern w:val="0"/>
                <w:szCs w:val="21"/>
              </w:rPr>
            </w:pPr>
            <w:r>
              <w:rPr>
                <w:rFonts w:hint="eastAsia" w:ascii="宋体" w:hAnsi="宋体"/>
                <w:color w:val="000000"/>
                <w:kern w:val="0"/>
                <w:szCs w:val="21"/>
              </w:rPr>
              <w:t>（5）内训活动：日常内训学员的各类线下教学活动的分级管理功能，包含活动的新增、编辑、发布、查看、删除、通知、活动请假、活动签到、课堂笔记、过程记录、台账归档等；需支持按活动类型+科室设置是否需要评价和是否需要提交过程记录，支持记录人设置和通知，支持活动参与人多次自动发送活动提醒，支持活动的多种签到模式（雷达签到、学员自行打卡签到、手工点名、二维码签到）。</w:t>
            </w:r>
          </w:p>
        </w:tc>
      </w:tr>
      <w:tr w14:paraId="0BF35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17408E2">
            <w:pPr>
              <w:jc w:val="center"/>
              <w:rPr>
                <w:rFonts w:ascii="宋体" w:hAnsi="宋体"/>
                <w:kern w:val="0"/>
                <w:szCs w:val="21"/>
              </w:rPr>
            </w:pPr>
          </w:p>
        </w:tc>
        <w:tc>
          <w:tcPr>
            <w:tcW w:w="1134" w:type="dxa"/>
            <w:vMerge w:val="continue"/>
            <w:vAlign w:val="center"/>
          </w:tcPr>
          <w:p w14:paraId="478D2343">
            <w:pPr>
              <w:jc w:val="center"/>
              <w:rPr>
                <w:rFonts w:ascii="宋体" w:hAnsi="宋体"/>
                <w:color w:val="000000"/>
                <w:kern w:val="0"/>
                <w:szCs w:val="21"/>
              </w:rPr>
            </w:pPr>
          </w:p>
        </w:tc>
        <w:tc>
          <w:tcPr>
            <w:tcW w:w="6946" w:type="dxa"/>
          </w:tcPr>
          <w:p w14:paraId="71685B1E">
            <w:pPr>
              <w:rPr>
                <w:rFonts w:ascii="宋体" w:hAnsi="宋体"/>
                <w:color w:val="000000"/>
                <w:kern w:val="0"/>
                <w:szCs w:val="21"/>
              </w:rPr>
            </w:pPr>
            <w:r>
              <w:rPr>
                <w:rFonts w:hint="eastAsia" w:ascii="宋体" w:hAnsi="宋体"/>
                <w:color w:val="000000"/>
                <w:kern w:val="0"/>
                <w:szCs w:val="21"/>
              </w:rPr>
              <w:t>（6）云学院：线上课程的分级发布及管理功能，包含课程的新增、编辑、发布、查看、删除、通知、学习进度管理、一键催学、课节测试、学分记录等；支持音视频格式和常规文档类多种课程资源格式文件，支持任务课程和公共课程的融合模式；支持系统自动识别的学分授予规则的自定义设置；</w:t>
            </w:r>
          </w:p>
          <w:p w14:paraId="7B45EAA5">
            <w:pPr>
              <w:rPr>
                <w:rFonts w:ascii="宋体" w:hAnsi="宋体"/>
                <w:color w:val="000000"/>
                <w:kern w:val="0"/>
                <w:szCs w:val="21"/>
              </w:rPr>
            </w:pPr>
            <w:r>
              <w:rPr>
                <w:rFonts w:hint="eastAsia" w:ascii="宋体" w:hAnsi="宋体"/>
                <w:bCs/>
                <w:szCs w:val="21"/>
              </w:rPr>
              <w:t>▲</w:t>
            </w:r>
            <w:r>
              <w:rPr>
                <w:rFonts w:hint="eastAsia" w:ascii="宋体" w:hAnsi="宋体"/>
                <w:color w:val="000000"/>
                <w:kern w:val="0"/>
                <w:szCs w:val="21"/>
              </w:rPr>
              <w:t>需支持单课程多课节模式，支持按课节设置测试，并能按课节自定义设置学习人员的可测试数量和是否可核对答案。需支持音视频学习的真实性自动校验；</w:t>
            </w:r>
          </w:p>
        </w:tc>
      </w:tr>
      <w:tr w14:paraId="4657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75BC56DB">
            <w:pPr>
              <w:jc w:val="center"/>
              <w:rPr>
                <w:rFonts w:ascii="宋体" w:hAnsi="宋体"/>
                <w:kern w:val="0"/>
                <w:szCs w:val="21"/>
              </w:rPr>
            </w:pPr>
            <w:r>
              <w:rPr>
                <w:rFonts w:ascii="宋体" w:hAnsi="宋体"/>
                <w:kern w:val="0"/>
                <w:szCs w:val="21"/>
              </w:rPr>
              <w:t>4</w:t>
            </w:r>
          </w:p>
        </w:tc>
        <w:tc>
          <w:tcPr>
            <w:tcW w:w="1134" w:type="dxa"/>
            <w:vMerge w:val="restart"/>
            <w:vAlign w:val="center"/>
          </w:tcPr>
          <w:p w14:paraId="2C83B53A">
            <w:pPr>
              <w:jc w:val="center"/>
              <w:rPr>
                <w:rFonts w:ascii="宋体" w:hAnsi="宋体"/>
                <w:color w:val="000000"/>
                <w:kern w:val="0"/>
                <w:szCs w:val="21"/>
              </w:rPr>
            </w:pPr>
            <w:r>
              <w:rPr>
                <w:rFonts w:hint="eastAsia" w:ascii="宋体" w:hAnsi="宋体"/>
                <w:color w:val="000000"/>
                <w:kern w:val="0"/>
                <w:szCs w:val="21"/>
              </w:rPr>
              <w:t>评价系列</w:t>
            </w:r>
          </w:p>
        </w:tc>
        <w:tc>
          <w:tcPr>
            <w:tcW w:w="6946" w:type="dxa"/>
          </w:tcPr>
          <w:p w14:paraId="04E26600">
            <w:pPr>
              <w:rPr>
                <w:rFonts w:ascii="宋体" w:hAnsi="宋体"/>
                <w:color w:val="000000"/>
                <w:kern w:val="0"/>
                <w:szCs w:val="21"/>
              </w:rPr>
            </w:pPr>
            <w:r>
              <w:rPr>
                <w:rFonts w:hint="eastAsia" w:ascii="宋体" w:hAnsi="宋体"/>
                <w:bCs/>
                <w:szCs w:val="21"/>
              </w:rPr>
              <w:t>（1）</w:t>
            </w:r>
            <w:r>
              <w:rPr>
                <w:rFonts w:hint="eastAsia" w:ascii="宋体" w:hAnsi="宋体"/>
                <w:color w:val="000000"/>
                <w:kern w:val="0"/>
                <w:szCs w:val="21"/>
              </w:rPr>
              <w:t>出科评教：学员出科时评价带教和评价轮转科室的分级管理功能；包含评价的分级查询、催评、统计等；支持系统自动按轮转规则产生待评价任务，支持预置标准评价表单，支持按科室定义评价表，支持评语字数限定，支持双盲规则（即被评价人看不到谁评），支持评价任务提醒和一键催评，支持评价信息的转交复核。</w:t>
            </w:r>
          </w:p>
        </w:tc>
      </w:tr>
      <w:tr w14:paraId="4606B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550F01B">
            <w:pPr>
              <w:jc w:val="center"/>
              <w:rPr>
                <w:rFonts w:ascii="宋体" w:hAnsi="宋体"/>
                <w:kern w:val="0"/>
                <w:szCs w:val="21"/>
              </w:rPr>
            </w:pPr>
          </w:p>
        </w:tc>
        <w:tc>
          <w:tcPr>
            <w:tcW w:w="1134" w:type="dxa"/>
            <w:vMerge w:val="continue"/>
            <w:vAlign w:val="center"/>
          </w:tcPr>
          <w:p w14:paraId="118FB5DC">
            <w:pPr>
              <w:jc w:val="center"/>
              <w:rPr>
                <w:rFonts w:ascii="宋体" w:hAnsi="宋体"/>
                <w:color w:val="000000"/>
                <w:kern w:val="0"/>
                <w:szCs w:val="21"/>
              </w:rPr>
            </w:pPr>
          </w:p>
        </w:tc>
        <w:tc>
          <w:tcPr>
            <w:tcW w:w="6946" w:type="dxa"/>
          </w:tcPr>
          <w:p w14:paraId="556F8382">
            <w:pPr>
              <w:rPr>
                <w:rFonts w:ascii="宋体" w:hAnsi="宋体"/>
                <w:color w:val="000000"/>
                <w:kern w:val="0"/>
                <w:szCs w:val="21"/>
              </w:rPr>
            </w:pPr>
            <w:r>
              <w:rPr>
                <w:rFonts w:hint="eastAsia" w:ascii="宋体" w:hAnsi="宋体"/>
                <w:bCs/>
                <w:szCs w:val="21"/>
              </w:rPr>
              <w:t>（2）</w:t>
            </w:r>
            <w:r>
              <w:rPr>
                <w:rFonts w:hint="eastAsia" w:ascii="宋体" w:hAnsi="宋体"/>
                <w:color w:val="000000"/>
                <w:kern w:val="0"/>
                <w:szCs w:val="21"/>
              </w:rPr>
              <w:t>活动评教：学员评价所参加的核心教学活动的进度和分级管理功能；包含评价的分级查询、催评、统计等；支持系统自动按活动的进程产生待评价任务，支持预置标准评价表单，支持按活动类型+举办活动的科室定义评价表，支持评语字数限定，支持双盲规则（即主持老师看不到谁评的活动），支持评价任务提醒和一键催评。</w:t>
            </w:r>
          </w:p>
        </w:tc>
      </w:tr>
      <w:tr w14:paraId="3B7BB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A9870E0">
            <w:pPr>
              <w:jc w:val="center"/>
              <w:rPr>
                <w:rFonts w:ascii="宋体" w:hAnsi="宋体"/>
                <w:kern w:val="0"/>
                <w:szCs w:val="21"/>
              </w:rPr>
            </w:pPr>
          </w:p>
        </w:tc>
        <w:tc>
          <w:tcPr>
            <w:tcW w:w="1134" w:type="dxa"/>
            <w:vMerge w:val="continue"/>
            <w:vAlign w:val="center"/>
          </w:tcPr>
          <w:p w14:paraId="03551E93">
            <w:pPr>
              <w:jc w:val="center"/>
              <w:rPr>
                <w:rFonts w:ascii="宋体" w:hAnsi="宋体"/>
                <w:color w:val="000000"/>
                <w:kern w:val="0"/>
                <w:szCs w:val="21"/>
              </w:rPr>
            </w:pPr>
          </w:p>
        </w:tc>
        <w:tc>
          <w:tcPr>
            <w:tcW w:w="6946" w:type="dxa"/>
          </w:tcPr>
          <w:p w14:paraId="6D3AD080">
            <w:pPr>
              <w:rPr>
                <w:rFonts w:ascii="宋体" w:hAnsi="宋体"/>
                <w:color w:val="000000"/>
                <w:kern w:val="0"/>
                <w:szCs w:val="21"/>
              </w:rPr>
            </w:pPr>
            <w:r>
              <w:rPr>
                <w:rFonts w:hint="eastAsia" w:ascii="宋体" w:hAnsi="宋体"/>
                <w:bCs/>
                <w:szCs w:val="21"/>
              </w:rPr>
              <w:t>（</w:t>
            </w:r>
            <w:r>
              <w:rPr>
                <w:rFonts w:ascii="宋体" w:hAnsi="宋体"/>
                <w:bCs/>
                <w:szCs w:val="21"/>
              </w:rPr>
              <w:t>3</w:t>
            </w:r>
            <w:r>
              <w:rPr>
                <w:rFonts w:hint="eastAsia" w:ascii="宋体" w:hAnsi="宋体"/>
                <w:bCs/>
                <w:szCs w:val="21"/>
              </w:rPr>
              <w:t>）</w:t>
            </w:r>
            <w:r>
              <w:rPr>
                <w:rFonts w:hint="eastAsia" w:ascii="宋体" w:hAnsi="宋体"/>
                <w:color w:val="000000"/>
                <w:kern w:val="0"/>
                <w:szCs w:val="21"/>
              </w:rPr>
              <w:t>出科评学：学员出科时科室主任/护长评价出科学员的进度和分级管理功能；包含评价的分级查询、催评、统计等；支持按学员出科的进程自动产生待评价任务，支持预置标准评价表单，支持按科室+职位+出科学员类型定义评价表，支持双盲规则（即学员看不到谁评的），支持评价任务提醒和一键催评。</w:t>
            </w:r>
          </w:p>
        </w:tc>
      </w:tr>
      <w:tr w14:paraId="76DAD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FF6B109">
            <w:pPr>
              <w:jc w:val="center"/>
              <w:rPr>
                <w:rFonts w:ascii="宋体" w:hAnsi="宋体"/>
                <w:kern w:val="0"/>
                <w:szCs w:val="21"/>
              </w:rPr>
            </w:pPr>
          </w:p>
        </w:tc>
        <w:tc>
          <w:tcPr>
            <w:tcW w:w="1134" w:type="dxa"/>
            <w:vMerge w:val="continue"/>
            <w:vAlign w:val="center"/>
          </w:tcPr>
          <w:p w14:paraId="1F8B58A3">
            <w:pPr>
              <w:jc w:val="center"/>
              <w:rPr>
                <w:rFonts w:ascii="宋体" w:hAnsi="宋体"/>
                <w:color w:val="000000"/>
                <w:kern w:val="0"/>
                <w:szCs w:val="21"/>
              </w:rPr>
            </w:pPr>
          </w:p>
        </w:tc>
        <w:tc>
          <w:tcPr>
            <w:tcW w:w="6946" w:type="dxa"/>
          </w:tcPr>
          <w:p w14:paraId="0F5A3769">
            <w:pPr>
              <w:rPr>
                <w:rFonts w:ascii="宋体" w:hAnsi="宋体"/>
                <w:color w:val="000000"/>
                <w:kern w:val="0"/>
                <w:szCs w:val="21"/>
              </w:rPr>
            </w:pPr>
            <w:r>
              <w:rPr>
                <w:rFonts w:hint="eastAsia" w:ascii="宋体" w:hAnsi="宋体"/>
                <w:bCs/>
                <w:szCs w:val="21"/>
              </w:rPr>
              <w:t>（4）</w:t>
            </w:r>
            <w:r>
              <w:rPr>
                <w:rFonts w:hint="eastAsia" w:ascii="宋体" w:hAnsi="宋体"/>
                <w:color w:val="000000"/>
                <w:kern w:val="0"/>
                <w:szCs w:val="21"/>
              </w:rPr>
              <w:t>督导评价：教学管理部门或专家督导教学活动的功能；包含督导评价任务的新增、编辑、删除、发布、查看等；支持院内督导专家督导评价任务模式和院外督导专家二维码识别评价模式，支持预置常用督导评价表单，支持督导评价表单自定义功能，支持评价任务提醒和督导评价进度管理，支持评价任务提醒和一键催评；</w:t>
            </w:r>
          </w:p>
        </w:tc>
      </w:tr>
      <w:tr w14:paraId="51405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AC4DE16">
            <w:pPr>
              <w:jc w:val="center"/>
              <w:rPr>
                <w:rFonts w:ascii="宋体" w:hAnsi="宋体"/>
                <w:kern w:val="0"/>
                <w:szCs w:val="21"/>
              </w:rPr>
            </w:pPr>
          </w:p>
        </w:tc>
        <w:tc>
          <w:tcPr>
            <w:tcW w:w="1134" w:type="dxa"/>
            <w:vMerge w:val="continue"/>
            <w:vAlign w:val="center"/>
          </w:tcPr>
          <w:p w14:paraId="2798CE87">
            <w:pPr>
              <w:jc w:val="center"/>
              <w:rPr>
                <w:rFonts w:ascii="宋体" w:hAnsi="宋体"/>
                <w:color w:val="000000"/>
                <w:kern w:val="0"/>
                <w:szCs w:val="21"/>
              </w:rPr>
            </w:pPr>
          </w:p>
        </w:tc>
        <w:tc>
          <w:tcPr>
            <w:tcW w:w="6946" w:type="dxa"/>
          </w:tcPr>
          <w:p w14:paraId="317ABE96">
            <w:pPr>
              <w:rPr>
                <w:rFonts w:ascii="宋体" w:hAnsi="宋体"/>
                <w:color w:val="000000"/>
                <w:kern w:val="0"/>
                <w:szCs w:val="21"/>
              </w:rPr>
            </w:pPr>
            <w:r>
              <w:rPr>
                <w:rFonts w:hint="eastAsia" w:ascii="宋体" w:hAnsi="宋体"/>
                <w:bCs/>
                <w:szCs w:val="21"/>
              </w:rPr>
              <w:t>（</w:t>
            </w:r>
            <w:r>
              <w:rPr>
                <w:rFonts w:ascii="宋体" w:hAnsi="宋体"/>
                <w:bCs/>
                <w:szCs w:val="21"/>
              </w:rPr>
              <w:t>5</w:t>
            </w:r>
            <w:r>
              <w:rPr>
                <w:rFonts w:hint="eastAsia" w:ascii="宋体" w:hAnsi="宋体"/>
                <w:bCs/>
                <w:szCs w:val="21"/>
              </w:rPr>
              <w:t>）</w:t>
            </w:r>
            <w:r>
              <w:rPr>
                <w:rFonts w:hint="eastAsia" w:ascii="宋体" w:hAnsi="宋体"/>
                <w:color w:val="000000"/>
                <w:kern w:val="0"/>
                <w:szCs w:val="21"/>
              </w:rPr>
              <w:t>通用评价：除了系统自动产生的评价任务之外手工发起的评价或者问卷功能；包含评价或问卷的新增、编辑、删除、发布、查看等；支持院内系统用户评价/问卷模式和院外非系统用户二维码识别评价模式，支持预置常用通用评价/问卷表单，支持评价表单的自行管理，支持评价/问卷任务提醒和评价/问卷填写进度管理，支持评价任务提醒和一键催评；</w:t>
            </w:r>
          </w:p>
        </w:tc>
      </w:tr>
      <w:tr w14:paraId="5450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restart"/>
            <w:vAlign w:val="center"/>
          </w:tcPr>
          <w:p w14:paraId="24A5BC0B">
            <w:pPr>
              <w:jc w:val="center"/>
              <w:rPr>
                <w:rFonts w:ascii="宋体" w:hAnsi="宋体"/>
                <w:kern w:val="0"/>
                <w:szCs w:val="21"/>
              </w:rPr>
            </w:pPr>
            <w:r>
              <w:rPr>
                <w:rFonts w:ascii="宋体" w:hAnsi="宋体"/>
                <w:kern w:val="0"/>
                <w:szCs w:val="21"/>
              </w:rPr>
              <w:t>5</w:t>
            </w:r>
          </w:p>
        </w:tc>
        <w:tc>
          <w:tcPr>
            <w:tcW w:w="1134" w:type="dxa"/>
            <w:vMerge w:val="restart"/>
            <w:vAlign w:val="center"/>
          </w:tcPr>
          <w:p w14:paraId="6B6D9EFD">
            <w:pPr>
              <w:jc w:val="center"/>
              <w:rPr>
                <w:rFonts w:ascii="宋体" w:hAnsi="宋体"/>
                <w:color w:val="000000"/>
                <w:kern w:val="0"/>
                <w:szCs w:val="21"/>
              </w:rPr>
            </w:pPr>
            <w:r>
              <w:rPr>
                <w:rFonts w:hint="eastAsia" w:ascii="宋体" w:hAnsi="宋体"/>
                <w:color w:val="000000"/>
                <w:kern w:val="0"/>
                <w:szCs w:val="21"/>
              </w:rPr>
              <w:t>学习记录系列</w:t>
            </w:r>
          </w:p>
        </w:tc>
        <w:tc>
          <w:tcPr>
            <w:tcW w:w="6946" w:type="dxa"/>
          </w:tcPr>
          <w:p w14:paraId="09D26E67">
            <w:pPr>
              <w:rPr>
                <w:rFonts w:ascii="宋体" w:hAnsi="宋体"/>
                <w:bCs/>
                <w:szCs w:val="21"/>
              </w:rPr>
            </w:pPr>
            <w:r>
              <w:rPr>
                <w:rFonts w:hint="eastAsia" w:ascii="宋体" w:hAnsi="宋体"/>
                <w:bCs/>
                <w:szCs w:val="21"/>
              </w:rPr>
              <w:t>（1）跟师记录：师承学员跟随导师出诊记录的管理功能，包含出诊记录的新增、编辑、删除、查看等；支持师承学员和导师均可登记；支持导师可对师承学员提交的记录进行是否有效的审订；支持学员端发起邀请老师语音批阅，以确保年龄较大操作手机批阅功能困难的导师也可以及时进行语音批阅；</w:t>
            </w:r>
          </w:p>
        </w:tc>
      </w:tr>
      <w:tr w14:paraId="0631F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0BA6ACE">
            <w:pPr>
              <w:jc w:val="center"/>
              <w:rPr>
                <w:rFonts w:ascii="宋体" w:hAnsi="宋体"/>
                <w:kern w:val="0"/>
                <w:szCs w:val="21"/>
              </w:rPr>
            </w:pPr>
          </w:p>
        </w:tc>
        <w:tc>
          <w:tcPr>
            <w:tcW w:w="1134" w:type="dxa"/>
            <w:vMerge w:val="continue"/>
            <w:vAlign w:val="center"/>
          </w:tcPr>
          <w:p w14:paraId="02C3EAA2">
            <w:pPr>
              <w:jc w:val="center"/>
              <w:rPr>
                <w:rFonts w:ascii="宋体" w:hAnsi="宋体"/>
                <w:color w:val="000000"/>
                <w:kern w:val="0"/>
                <w:szCs w:val="21"/>
              </w:rPr>
            </w:pPr>
          </w:p>
        </w:tc>
        <w:tc>
          <w:tcPr>
            <w:tcW w:w="6946" w:type="dxa"/>
          </w:tcPr>
          <w:p w14:paraId="4DFDBE3C">
            <w:pPr>
              <w:rPr>
                <w:rFonts w:ascii="宋体" w:hAnsi="宋体"/>
                <w:bCs/>
                <w:szCs w:val="21"/>
              </w:rPr>
            </w:pPr>
            <w:r>
              <w:rPr>
                <w:rFonts w:hint="eastAsia" w:ascii="宋体" w:hAnsi="宋体"/>
                <w:bCs/>
                <w:szCs w:val="21"/>
              </w:rPr>
              <w:t>（2）跟师笔记：师承学员跟师学习笔记的提交与导师批阅的功能；包含学员笔记的提交、编辑、删除、有效性审订、导师的在线批改等；需支持单条记录可以有多篇以患者为区分的笔记，导师可以分篇批阅并保存批阅记录；需支持除语音批改并保存音频记录。支持学员提交后在导师带教端生成批阅待办任务，并通过信息通知导师批阅；</w:t>
            </w:r>
          </w:p>
          <w:p w14:paraId="5B67A9BB">
            <w:pPr>
              <w:rPr>
                <w:rFonts w:ascii="宋体" w:hAnsi="宋体"/>
                <w:bCs/>
                <w:szCs w:val="21"/>
              </w:rPr>
            </w:pPr>
            <w:r>
              <w:rPr>
                <w:rFonts w:hint="eastAsia" w:ascii="宋体" w:hAnsi="宋体"/>
                <w:bCs/>
                <w:szCs w:val="21"/>
              </w:rPr>
              <w:t>▲需支持学员端发起邀请老师语音批阅，以确保年龄较大操作手机批阅功能困难的导师也可以及时进行语音批阅；</w:t>
            </w:r>
          </w:p>
        </w:tc>
      </w:tr>
      <w:tr w14:paraId="27E4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07DDD5E">
            <w:pPr>
              <w:jc w:val="center"/>
              <w:rPr>
                <w:rFonts w:ascii="宋体" w:hAnsi="宋体"/>
                <w:kern w:val="0"/>
                <w:szCs w:val="21"/>
              </w:rPr>
            </w:pPr>
          </w:p>
        </w:tc>
        <w:tc>
          <w:tcPr>
            <w:tcW w:w="1134" w:type="dxa"/>
            <w:vMerge w:val="continue"/>
            <w:vAlign w:val="center"/>
          </w:tcPr>
          <w:p w14:paraId="14804A59">
            <w:pPr>
              <w:jc w:val="center"/>
              <w:rPr>
                <w:rFonts w:ascii="宋体" w:hAnsi="宋体"/>
                <w:color w:val="000000"/>
                <w:kern w:val="0"/>
                <w:szCs w:val="21"/>
              </w:rPr>
            </w:pPr>
          </w:p>
        </w:tc>
        <w:tc>
          <w:tcPr>
            <w:tcW w:w="6946" w:type="dxa"/>
          </w:tcPr>
          <w:p w14:paraId="5533189F">
            <w:pPr>
              <w:rPr>
                <w:rFonts w:ascii="宋体" w:hAnsi="宋体"/>
                <w:bCs/>
                <w:szCs w:val="21"/>
              </w:rPr>
            </w:pPr>
            <w:r>
              <w:rPr>
                <w:rFonts w:hint="eastAsia" w:ascii="宋体" w:hAnsi="宋体"/>
                <w:bCs/>
                <w:szCs w:val="21"/>
              </w:rPr>
              <w:t>（3）跟师医案：师承学员跟师期间所写医案的提交与导师批阅的功能；包含学员医案的提交、编辑、删除、有效性审订、导师的在线批改等；需支持语音批改并保存音频记录。支持学员提交后在导师带教端生成批阅待办任务，并通过信息通知导师批阅。支持学员端发起邀请老师语音批阅，以确保年龄较大操作手机批阅功能困难的导师也可以及时进行语音批阅；</w:t>
            </w:r>
          </w:p>
        </w:tc>
      </w:tr>
      <w:tr w14:paraId="2FCAD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C022EC6">
            <w:pPr>
              <w:jc w:val="center"/>
              <w:rPr>
                <w:rFonts w:ascii="宋体" w:hAnsi="宋体"/>
                <w:kern w:val="0"/>
                <w:szCs w:val="21"/>
              </w:rPr>
            </w:pPr>
          </w:p>
        </w:tc>
        <w:tc>
          <w:tcPr>
            <w:tcW w:w="1134" w:type="dxa"/>
            <w:vMerge w:val="continue"/>
            <w:vAlign w:val="center"/>
          </w:tcPr>
          <w:p w14:paraId="788FCFBD">
            <w:pPr>
              <w:jc w:val="center"/>
              <w:rPr>
                <w:rFonts w:ascii="宋体" w:hAnsi="宋体"/>
                <w:color w:val="000000"/>
                <w:kern w:val="0"/>
                <w:szCs w:val="21"/>
              </w:rPr>
            </w:pPr>
          </w:p>
        </w:tc>
        <w:tc>
          <w:tcPr>
            <w:tcW w:w="6946" w:type="dxa"/>
          </w:tcPr>
          <w:p w14:paraId="476C8FE8">
            <w:pPr>
              <w:rPr>
                <w:rFonts w:ascii="宋体" w:hAnsi="宋体"/>
                <w:bCs/>
                <w:szCs w:val="21"/>
              </w:rPr>
            </w:pPr>
            <w:r>
              <w:rPr>
                <w:rFonts w:hint="eastAsia" w:ascii="宋体" w:hAnsi="宋体"/>
                <w:bCs/>
                <w:szCs w:val="21"/>
              </w:rPr>
              <w:t>（4）跟师心得：师承学员跟师期间根据导师要求或学习要求提交的跟师学习的心得体会；支持导师可对师承学员提交的心得体会进行文字评论或语音评论，并保存评论过程记录；</w:t>
            </w:r>
          </w:p>
        </w:tc>
      </w:tr>
      <w:tr w14:paraId="1556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7902AA3">
            <w:pPr>
              <w:jc w:val="center"/>
              <w:rPr>
                <w:rFonts w:ascii="宋体" w:hAnsi="宋体"/>
                <w:kern w:val="0"/>
                <w:szCs w:val="21"/>
              </w:rPr>
            </w:pPr>
          </w:p>
        </w:tc>
        <w:tc>
          <w:tcPr>
            <w:tcW w:w="1134" w:type="dxa"/>
            <w:vMerge w:val="continue"/>
            <w:vAlign w:val="center"/>
          </w:tcPr>
          <w:p w14:paraId="0F1AE866">
            <w:pPr>
              <w:jc w:val="center"/>
              <w:rPr>
                <w:rFonts w:ascii="宋体" w:hAnsi="宋体"/>
                <w:color w:val="000000"/>
                <w:kern w:val="0"/>
                <w:szCs w:val="21"/>
              </w:rPr>
            </w:pPr>
          </w:p>
        </w:tc>
        <w:tc>
          <w:tcPr>
            <w:tcW w:w="6946" w:type="dxa"/>
          </w:tcPr>
          <w:p w14:paraId="1E912F37">
            <w:pPr>
              <w:rPr>
                <w:rFonts w:ascii="宋体" w:hAnsi="宋体"/>
                <w:bCs/>
                <w:szCs w:val="21"/>
              </w:rPr>
            </w:pPr>
            <w:r>
              <w:rPr>
                <w:rFonts w:hint="eastAsia" w:ascii="宋体" w:hAnsi="宋体"/>
                <w:bCs/>
                <w:szCs w:val="21"/>
              </w:rPr>
              <w:t>（5）经典学习：师承学员跟师期间根据导师要求或学习要求提交的中医经典医籍的阅读心得体会记录；支持导师可对师承学员提交的记录进行是否有效的审订；</w:t>
            </w:r>
          </w:p>
        </w:tc>
      </w:tr>
      <w:tr w14:paraId="602DD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07E24E4">
            <w:pPr>
              <w:jc w:val="center"/>
              <w:rPr>
                <w:rFonts w:ascii="宋体" w:hAnsi="宋体"/>
                <w:kern w:val="0"/>
                <w:szCs w:val="21"/>
              </w:rPr>
            </w:pPr>
          </w:p>
        </w:tc>
        <w:tc>
          <w:tcPr>
            <w:tcW w:w="1134" w:type="dxa"/>
            <w:vMerge w:val="continue"/>
            <w:vAlign w:val="center"/>
          </w:tcPr>
          <w:p w14:paraId="5561F216">
            <w:pPr>
              <w:jc w:val="center"/>
              <w:rPr>
                <w:rFonts w:ascii="宋体" w:hAnsi="宋体"/>
                <w:color w:val="000000"/>
                <w:kern w:val="0"/>
                <w:szCs w:val="21"/>
              </w:rPr>
            </w:pPr>
          </w:p>
        </w:tc>
        <w:tc>
          <w:tcPr>
            <w:tcW w:w="6946" w:type="dxa"/>
          </w:tcPr>
          <w:p w14:paraId="5515CDC2">
            <w:pPr>
              <w:rPr>
                <w:rFonts w:ascii="宋体" w:hAnsi="宋体"/>
                <w:bCs/>
                <w:szCs w:val="21"/>
              </w:rPr>
            </w:pPr>
            <w:r>
              <w:rPr>
                <w:rFonts w:hint="eastAsia" w:ascii="宋体" w:hAnsi="宋体"/>
                <w:bCs/>
                <w:szCs w:val="21"/>
              </w:rPr>
              <w:t>（6）跟师论文：师承学员跟师学习的论文提交和保存功能。</w:t>
            </w:r>
          </w:p>
        </w:tc>
      </w:tr>
      <w:tr w14:paraId="2B65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814A429">
            <w:pPr>
              <w:jc w:val="center"/>
              <w:rPr>
                <w:rFonts w:ascii="宋体" w:hAnsi="宋体"/>
                <w:kern w:val="0"/>
                <w:szCs w:val="21"/>
              </w:rPr>
            </w:pPr>
          </w:p>
        </w:tc>
        <w:tc>
          <w:tcPr>
            <w:tcW w:w="1134" w:type="dxa"/>
            <w:vMerge w:val="continue"/>
            <w:vAlign w:val="center"/>
          </w:tcPr>
          <w:p w14:paraId="029DC935">
            <w:pPr>
              <w:jc w:val="center"/>
              <w:rPr>
                <w:rFonts w:ascii="宋体" w:hAnsi="宋体"/>
                <w:color w:val="000000"/>
                <w:kern w:val="0"/>
                <w:szCs w:val="21"/>
              </w:rPr>
            </w:pPr>
          </w:p>
        </w:tc>
        <w:tc>
          <w:tcPr>
            <w:tcW w:w="6946" w:type="dxa"/>
          </w:tcPr>
          <w:p w14:paraId="5A6FC1D0">
            <w:pPr>
              <w:rPr>
                <w:rFonts w:ascii="宋体" w:hAnsi="宋体"/>
                <w:bCs/>
                <w:szCs w:val="21"/>
              </w:rPr>
            </w:pPr>
            <w:r>
              <w:rPr>
                <w:rFonts w:hint="eastAsia" w:ascii="宋体" w:hAnsi="宋体"/>
                <w:bCs/>
                <w:szCs w:val="21"/>
              </w:rPr>
              <w:t>（7）</w:t>
            </w:r>
            <w:r>
              <w:rPr>
                <w:rFonts w:hint="eastAsia" w:ascii="宋体" w:hAnsi="宋体"/>
                <w:color w:val="000000"/>
                <w:kern w:val="0"/>
                <w:szCs w:val="21"/>
              </w:rPr>
              <w:t>病种记录：学员轮转期间接触的病种登记分级管理功能；包含病种记录学员登记后的查询、审订（审核是否记录有效）、关联指标的进度查询等。支持关联教培大纲中的病种记录的登记要求，支持按I</w:t>
            </w:r>
            <w:r>
              <w:rPr>
                <w:rFonts w:ascii="宋体" w:hAnsi="宋体"/>
                <w:color w:val="000000"/>
                <w:kern w:val="0"/>
                <w:szCs w:val="21"/>
              </w:rPr>
              <w:t>CD</w:t>
            </w:r>
            <w:r>
              <w:rPr>
                <w:rFonts w:hint="eastAsia" w:ascii="宋体" w:hAnsi="宋体"/>
                <w:color w:val="000000"/>
                <w:kern w:val="0"/>
                <w:szCs w:val="21"/>
              </w:rPr>
              <w:t>疾病编码表登记；</w:t>
            </w:r>
          </w:p>
        </w:tc>
      </w:tr>
      <w:tr w14:paraId="6D1C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BD51303">
            <w:pPr>
              <w:jc w:val="center"/>
              <w:rPr>
                <w:rFonts w:ascii="宋体" w:hAnsi="宋体"/>
                <w:kern w:val="0"/>
                <w:szCs w:val="21"/>
              </w:rPr>
            </w:pPr>
          </w:p>
        </w:tc>
        <w:tc>
          <w:tcPr>
            <w:tcW w:w="1134" w:type="dxa"/>
            <w:vMerge w:val="continue"/>
            <w:vAlign w:val="center"/>
          </w:tcPr>
          <w:p w14:paraId="1D596176">
            <w:pPr>
              <w:jc w:val="center"/>
              <w:rPr>
                <w:rFonts w:ascii="宋体" w:hAnsi="宋体"/>
                <w:color w:val="000000"/>
                <w:kern w:val="0"/>
                <w:szCs w:val="21"/>
              </w:rPr>
            </w:pPr>
          </w:p>
        </w:tc>
        <w:tc>
          <w:tcPr>
            <w:tcW w:w="6946" w:type="dxa"/>
          </w:tcPr>
          <w:p w14:paraId="42FD7F45">
            <w:pPr>
              <w:rPr>
                <w:rFonts w:ascii="宋体" w:hAnsi="宋体"/>
                <w:color w:val="000000"/>
                <w:kern w:val="0"/>
                <w:szCs w:val="21"/>
              </w:rPr>
            </w:pPr>
            <w:r>
              <w:rPr>
                <w:rFonts w:hint="eastAsia" w:ascii="宋体" w:hAnsi="宋体"/>
                <w:color w:val="000000"/>
                <w:kern w:val="0"/>
                <w:szCs w:val="21"/>
              </w:rPr>
              <w:t>（8）病历文书：学员轮转期间按相应要求提交大病历、护理个案的在线批阅及分级管理功能；包含学员提交的病历文书的查询、在线批阅、订正、审订（审核是否记录有效）、关联指标的进度查询等。支持关联教培大纲中的病历文书的书写要求。支持带教老师在线批改和保存批改痕迹，支持导出形成病历文书的批阅规范台账。</w:t>
            </w:r>
          </w:p>
        </w:tc>
      </w:tr>
      <w:tr w14:paraId="2AD2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A8620AF">
            <w:pPr>
              <w:jc w:val="center"/>
              <w:rPr>
                <w:rFonts w:ascii="宋体" w:hAnsi="宋体"/>
                <w:kern w:val="0"/>
                <w:szCs w:val="21"/>
              </w:rPr>
            </w:pPr>
          </w:p>
        </w:tc>
        <w:tc>
          <w:tcPr>
            <w:tcW w:w="1134" w:type="dxa"/>
            <w:vMerge w:val="continue"/>
            <w:vAlign w:val="center"/>
          </w:tcPr>
          <w:p w14:paraId="093CA7E9">
            <w:pPr>
              <w:jc w:val="center"/>
              <w:rPr>
                <w:rFonts w:ascii="宋体" w:hAnsi="宋体"/>
                <w:color w:val="000000"/>
                <w:kern w:val="0"/>
                <w:szCs w:val="21"/>
              </w:rPr>
            </w:pPr>
          </w:p>
        </w:tc>
        <w:tc>
          <w:tcPr>
            <w:tcW w:w="6946" w:type="dxa"/>
          </w:tcPr>
          <w:p w14:paraId="48FABEDE">
            <w:pPr>
              <w:rPr>
                <w:rFonts w:ascii="宋体" w:hAnsi="宋体"/>
                <w:color w:val="000000"/>
                <w:kern w:val="0"/>
                <w:szCs w:val="21"/>
              </w:rPr>
            </w:pPr>
            <w:r>
              <w:rPr>
                <w:rFonts w:hint="eastAsia" w:ascii="宋体" w:hAnsi="宋体"/>
                <w:color w:val="000000"/>
                <w:kern w:val="0"/>
                <w:szCs w:val="21"/>
              </w:rPr>
              <w:t>（9）技能操作：学员轮转期间参与的基本技能操作记录的分级管理功能；包含学员基本技能操作记录的查询、审订（审核是否记录有效）、关联指标的进度查询。支持关联教培大纲中的技能操作的登记要求。</w:t>
            </w:r>
          </w:p>
        </w:tc>
      </w:tr>
      <w:tr w14:paraId="4DC8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85BDC44">
            <w:pPr>
              <w:jc w:val="center"/>
              <w:rPr>
                <w:rFonts w:ascii="宋体" w:hAnsi="宋体"/>
                <w:kern w:val="0"/>
                <w:szCs w:val="21"/>
              </w:rPr>
            </w:pPr>
          </w:p>
        </w:tc>
        <w:tc>
          <w:tcPr>
            <w:tcW w:w="1134" w:type="dxa"/>
            <w:vMerge w:val="continue"/>
            <w:vAlign w:val="center"/>
          </w:tcPr>
          <w:p w14:paraId="59CD6AC2">
            <w:pPr>
              <w:jc w:val="center"/>
              <w:rPr>
                <w:rFonts w:ascii="宋体" w:hAnsi="宋体"/>
                <w:color w:val="000000"/>
                <w:kern w:val="0"/>
                <w:szCs w:val="21"/>
              </w:rPr>
            </w:pPr>
          </w:p>
        </w:tc>
        <w:tc>
          <w:tcPr>
            <w:tcW w:w="6946" w:type="dxa"/>
          </w:tcPr>
          <w:p w14:paraId="7EFF24D7">
            <w:pPr>
              <w:rPr>
                <w:rFonts w:ascii="宋体" w:hAnsi="宋体"/>
                <w:color w:val="000000"/>
                <w:kern w:val="0"/>
                <w:szCs w:val="21"/>
              </w:rPr>
            </w:pPr>
            <w:r>
              <w:rPr>
                <w:rFonts w:hint="eastAsia" w:ascii="宋体" w:hAnsi="宋体"/>
                <w:color w:val="000000"/>
                <w:kern w:val="0"/>
                <w:szCs w:val="21"/>
              </w:rPr>
              <w:t>（10）管床记录：学员轮转期间登记所管理的住院病人记录的分级管理功能；包含学员管床记录登记后的查询、审订（审核是否记录有效）、关联指标的进度查询等。支持关联教培大纲中的管床记录的登记要求，支持全程和非全程管理分类记录。</w:t>
            </w:r>
          </w:p>
        </w:tc>
      </w:tr>
      <w:tr w14:paraId="6C87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C3E38CA">
            <w:pPr>
              <w:jc w:val="center"/>
              <w:rPr>
                <w:rFonts w:ascii="宋体" w:hAnsi="宋体"/>
                <w:kern w:val="0"/>
                <w:szCs w:val="21"/>
              </w:rPr>
            </w:pPr>
          </w:p>
        </w:tc>
        <w:tc>
          <w:tcPr>
            <w:tcW w:w="1134" w:type="dxa"/>
            <w:vMerge w:val="continue"/>
            <w:vAlign w:val="center"/>
          </w:tcPr>
          <w:p w14:paraId="0BFA0E01">
            <w:pPr>
              <w:jc w:val="center"/>
              <w:rPr>
                <w:rFonts w:ascii="宋体" w:hAnsi="宋体"/>
                <w:color w:val="000000"/>
                <w:kern w:val="0"/>
                <w:szCs w:val="21"/>
              </w:rPr>
            </w:pPr>
          </w:p>
        </w:tc>
        <w:tc>
          <w:tcPr>
            <w:tcW w:w="6946" w:type="dxa"/>
          </w:tcPr>
          <w:p w14:paraId="644B4489">
            <w:pPr>
              <w:rPr>
                <w:rFonts w:ascii="宋体" w:hAnsi="宋体"/>
                <w:color w:val="000000"/>
                <w:kern w:val="0"/>
                <w:szCs w:val="21"/>
              </w:rPr>
            </w:pPr>
            <w:r>
              <w:rPr>
                <w:rFonts w:hint="eastAsia" w:ascii="宋体" w:hAnsi="宋体"/>
                <w:color w:val="000000"/>
                <w:kern w:val="0"/>
                <w:szCs w:val="21"/>
              </w:rPr>
              <w:t>（11）手术记录：学员轮转期间参与手术记录的分级管理功能；包含学员参与的手术记录的查询、审订（审核是否记录有效）、关联指标的进度查询。支持关联教培大纲中的手术记录的登记要求，支持按I</w:t>
            </w:r>
            <w:r>
              <w:rPr>
                <w:rFonts w:ascii="宋体" w:hAnsi="宋体"/>
                <w:color w:val="000000"/>
                <w:kern w:val="0"/>
                <w:szCs w:val="21"/>
              </w:rPr>
              <w:t>CD</w:t>
            </w:r>
            <w:r>
              <w:rPr>
                <w:rFonts w:hint="eastAsia" w:ascii="宋体" w:hAnsi="宋体"/>
                <w:color w:val="000000"/>
                <w:kern w:val="0"/>
                <w:szCs w:val="21"/>
              </w:rPr>
              <w:t>手术编码表记录，支持记录术中职务和术中操作。</w:t>
            </w:r>
          </w:p>
        </w:tc>
      </w:tr>
      <w:tr w14:paraId="6928F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086D979">
            <w:pPr>
              <w:jc w:val="center"/>
              <w:rPr>
                <w:rFonts w:ascii="宋体" w:hAnsi="宋体"/>
                <w:kern w:val="0"/>
                <w:szCs w:val="21"/>
              </w:rPr>
            </w:pPr>
          </w:p>
        </w:tc>
        <w:tc>
          <w:tcPr>
            <w:tcW w:w="1134" w:type="dxa"/>
            <w:vMerge w:val="continue"/>
            <w:vAlign w:val="center"/>
          </w:tcPr>
          <w:p w14:paraId="4E3FF4F3">
            <w:pPr>
              <w:jc w:val="center"/>
              <w:rPr>
                <w:rFonts w:ascii="宋体" w:hAnsi="宋体"/>
                <w:color w:val="000000"/>
                <w:kern w:val="0"/>
                <w:szCs w:val="21"/>
              </w:rPr>
            </w:pPr>
          </w:p>
        </w:tc>
        <w:tc>
          <w:tcPr>
            <w:tcW w:w="6946" w:type="dxa"/>
          </w:tcPr>
          <w:p w14:paraId="0216822A">
            <w:pPr>
              <w:rPr>
                <w:rFonts w:ascii="宋体" w:hAnsi="宋体"/>
                <w:color w:val="000000"/>
                <w:kern w:val="0"/>
                <w:szCs w:val="21"/>
              </w:rPr>
            </w:pPr>
            <w:r>
              <w:rPr>
                <w:rFonts w:hint="eastAsia" w:ascii="宋体" w:hAnsi="宋体"/>
                <w:color w:val="000000"/>
                <w:kern w:val="0"/>
                <w:szCs w:val="21"/>
              </w:rPr>
              <w:t>（12）抢救记录：学员轮转期间参与的抢救患者记录的分级管理功能；包含学员参与的抢救记录的查询、审订（审核是否记录有效）、关联指标的进度查询。支持关联教培大纲中的抢救记录的登记要求，支持记录抢救患者的归转情况。</w:t>
            </w:r>
          </w:p>
        </w:tc>
      </w:tr>
      <w:tr w14:paraId="52107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3E48241">
            <w:pPr>
              <w:jc w:val="center"/>
              <w:rPr>
                <w:rFonts w:ascii="宋体" w:hAnsi="宋体"/>
                <w:kern w:val="0"/>
                <w:szCs w:val="21"/>
              </w:rPr>
            </w:pPr>
          </w:p>
        </w:tc>
        <w:tc>
          <w:tcPr>
            <w:tcW w:w="1134" w:type="dxa"/>
            <w:vMerge w:val="continue"/>
            <w:vAlign w:val="center"/>
          </w:tcPr>
          <w:p w14:paraId="0807FE3A">
            <w:pPr>
              <w:jc w:val="center"/>
              <w:rPr>
                <w:rFonts w:ascii="宋体" w:hAnsi="宋体"/>
                <w:color w:val="000000"/>
                <w:kern w:val="0"/>
                <w:szCs w:val="21"/>
              </w:rPr>
            </w:pPr>
          </w:p>
        </w:tc>
        <w:tc>
          <w:tcPr>
            <w:tcW w:w="6946" w:type="dxa"/>
          </w:tcPr>
          <w:p w14:paraId="108CD5EF">
            <w:pPr>
              <w:rPr>
                <w:rFonts w:ascii="宋体" w:hAnsi="宋体"/>
                <w:color w:val="000000"/>
                <w:kern w:val="0"/>
                <w:szCs w:val="21"/>
              </w:rPr>
            </w:pPr>
            <w:r>
              <w:rPr>
                <w:rFonts w:hint="eastAsia" w:ascii="宋体" w:hAnsi="宋体"/>
                <w:color w:val="000000"/>
                <w:kern w:val="0"/>
                <w:szCs w:val="21"/>
              </w:rPr>
              <w:t>（13）健康教育：学员轮转期间参与的健康教育记录的分级管理功能；包含学员记录的参与健康教育记录的查询、审订（审核是否记录有效）、关联指标的进度查询等。支持关联教培大纲中的健康教育的记录要求。</w:t>
            </w:r>
          </w:p>
        </w:tc>
      </w:tr>
      <w:tr w14:paraId="66E79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3AA348A">
            <w:pPr>
              <w:jc w:val="center"/>
              <w:rPr>
                <w:rFonts w:ascii="宋体" w:hAnsi="宋体"/>
                <w:kern w:val="0"/>
                <w:szCs w:val="21"/>
              </w:rPr>
            </w:pPr>
          </w:p>
        </w:tc>
        <w:tc>
          <w:tcPr>
            <w:tcW w:w="1134" w:type="dxa"/>
            <w:vMerge w:val="continue"/>
            <w:vAlign w:val="center"/>
          </w:tcPr>
          <w:p w14:paraId="271F4A0A">
            <w:pPr>
              <w:jc w:val="center"/>
              <w:rPr>
                <w:rFonts w:ascii="宋体" w:hAnsi="宋体"/>
                <w:color w:val="000000"/>
                <w:kern w:val="0"/>
                <w:szCs w:val="21"/>
              </w:rPr>
            </w:pPr>
          </w:p>
        </w:tc>
        <w:tc>
          <w:tcPr>
            <w:tcW w:w="6946" w:type="dxa"/>
          </w:tcPr>
          <w:p w14:paraId="08147368">
            <w:pPr>
              <w:rPr>
                <w:rFonts w:ascii="宋体" w:hAnsi="宋体"/>
                <w:color w:val="000000"/>
                <w:kern w:val="0"/>
                <w:szCs w:val="21"/>
              </w:rPr>
            </w:pPr>
            <w:r>
              <w:rPr>
                <w:rFonts w:hint="eastAsia" w:ascii="宋体" w:hAnsi="宋体"/>
                <w:bCs/>
                <w:szCs w:val="21"/>
              </w:rPr>
              <w:t>（14）</w:t>
            </w:r>
            <w:r>
              <w:rPr>
                <w:rFonts w:hint="eastAsia" w:ascii="宋体" w:hAnsi="宋体"/>
                <w:color w:val="000000"/>
                <w:kern w:val="0"/>
                <w:szCs w:val="21"/>
              </w:rPr>
              <w:t>教科研外：学员轮转期间参与的教学、科研、外文文献阅读笔记、书写的综述报告记录的分级管理功能；包含学员教科研外记录的查询、审订（审核是否记录有效）、评论、点赞、关联指标的进度查询等。支持关联教培大纲中的教科研外的记录要求。</w:t>
            </w:r>
          </w:p>
        </w:tc>
      </w:tr>
      <w:tr w14:paraId="61A2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50EEADFE">
            <w:pPr>
              <w:jc w:val="center"/>
              <w:rPr>
                <w:rFonts w:ascii="宋体" w:hAnsi="宋体"/>
                <w:kern w:val="0"/>
                <w:szCs w:val="21"/>
              </w:rPr>
            </w:pPr>
            <w:r>
              <w:rPr>
                <w:rFonts w:ascii="宋体" w:hAnsi="宋体"/>
                <w:kern w:val="0"/>
                <w:szCs w:val="21"/>
              </w:rPr>
              <w:t>6</w:t>
            </w:r>
          </w:p>
        </w:tc>
        <w:tc>
          <w:tcPr>
            <w:tcW w:w="1134" w:type="dxa"/>
            <w:vMerge w:val="restart"/>
            <w:vAlign w:val="center"/>
          </w:tcPr>
          <w:p w14:paraId="74712C70">
            <w:pPr>
              <w:jc w:val="center"/>
              <w:rPr>
                <w:rFonts w:ascii="宋体" w:hAnsi="宋体"/>
                <w:color w:val="000000"/>
                <w:kern w:val="0"/>
                <w:szCs w:val="21"/>
              </w:rPr>
            </w:pPr>
            <w:r>
              <w:rPr>
                <w:rFonts w:hint="eastAsia" w:ascii="宋体" w:hAnsi="宋体"/>
                <w:color w:val="000000"/>
                <w:kern w:val="0"/>
                <w:szCs w:val="21"/>
              </w:rPr>
              <w:t>考评系列</w:t>
            </w:r>
          </w:p>
        </w:tc>
        <w:tc>
          <w:tcPr>
            <w:tcW w:w="6946" w:type="dxa"/>
          </w:tcPr>
          <w:p w14:paraId="6F2DC9B3">
            <w:pPr>
              <w:pStyle w:val="13"/>
              <w:numPr>
                <w:ilvl w:val="0"/>
                <w:numId w:val="2"/>
              </w:numPr>
              <w:ind w:left="0" w:firstLineChars="0"/>
              <w:rPr>
                <w:rFonts w:ascii="宋体" w:hAnsi="宋体"/>
                <w:color w:val="000000"/>
                <w:kern w:val="0"/>
                <w:szCs w:val="21"/>
              </w:rPr>
            </w:pPr>
            <w:r>
              <w:rPr>
                <w:rFonts w:hint="eastAsia" w:ascii="宋体" w:hAnsi="宋体"/>
                <w:color w:val="000000"/>
                <w:kern w:val="0"/>
                <w:szCs w:val="21"/>
              </w:rPr>
              <w:t>理论考试子系统，需包含以下功能：</w:t>
            </w:r>
          </w:p>
        </w:tc>
      </w:tr>
      <w:tr w14:paraId="3E4A7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B12C5DD">
            <w:pPr>
              <w:jc w:val="center"/>
              <w:rPr>
                <w:rFonts w:ascii="宋体" w:hAnsi="宋体"/>
                <w:kern w:val="0"/>
                <w:szCs w:val="21"/>
              </w:rPr>
            </w:pPr>
          </w:p>
        </w:tc>
        <w:tc>
          <w:tcPr>
            <w:tcW w:w="1134" w:type="dxa"/>
            <w:vMerge w:val="continue"/>
            <w:vAlign w:val="center"/>
          </w:tcPr>
          <w:p w14:paraId="0B985B02">
            <w:pPr>
              <w:jc w:val="center"/>
              <w:rPr>
                <w:rFonts w:ascii="宋体" w:hAnsi="宋体"/>
                <w:color w:val="000000"/>
                <w:kern w:val="0"/>
                <w:szCs w:val="21"/>
              </w:rPr>
            </w:pPr>
          </w:p>
        </w:tc>
        <w:tc>
          <w:tcPr>
            <w:tcW w:w="6946" w:type="dxa"/>
          </w:tcPr>
          <w:p w14:paraId="50DD9B9F">
            <w:pPr>
              <w:rPr>
                <w:rFonts w:ascii="宋体" w:hAnsi="宋体"/>
                <w:color w:val="000000"/>
                <w:kern w:val="0"/>
                <w:szCs w:val="21"/>
              </w:rPr>
            </w:pPr>
            <w:r>
              <w:rPr>
                <w:rFonts w:hint="eastAsia" w:ascii="宋体" w:hAnsi="宋体"/>
                <w:color w:val="000000"/>
                <w:kern w:val="0"/>
                <w:szCs w:val="21"/>
              </w:rPr>
              <w:t>（1）题库管理：题库建设和管理功能；包含理论试题的新增、编辑、查看、删除、共享等；支持自有题库建设录入，支持包含医学题型在内的24类题型分类，支持批量录题，支持题目分个人、科室、全院、平台四级共享，平台提供的试题量不少于</w:t>
            </w:r>
            <w:r>
              <w:rPr>
                <w:rFonts w:ascii="宋体" w:hAnsi="宋体"/>
                <w:color w:val="000000"/>
                <w:kern w:val="0"/>
                <w:szCs w:val="21"/>
              </w:rPr>
              <w:t>7</w:t>
            </w:r>
            <w:r>
              <w:rPr>
                <w:rFonts w:hint="eastAsia" w:ascii="宋体" w:hAnsi="宋体"/>
                <w:color w:val="000000"/>
                <w:kern w:val="0"/>
                <w:szCs w:val="21"/>
              </w:rPr>
              <w:t>万道题。</w:t>
            </w:r>
          </w:p>
        </w:tc>
      </w:tr>
      <w:tr w14:paraId="27E67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49E1AA2">
            <w:pPr>
              <w:jc w:val="center"/>
              <w:rPr>
                <w:rFonts w:ascii="宋体" w:hAnsi="宋体"/>
                <w:kern w:val="0"/>
                <w:szCs w:val="21"/>
              </w:rPr>
            </w:pPr>
          </w:p>
        </w:tc>
        <w:tc>
          <w:tcPr>
            <w:tcW w:w="1134" w:type="dxa"/>
            <w:vMerge w:val="continue"/>
            <w:vAlign w:val="center"/>
          </w:tcPr>
          <w:p w14:paraId="024F911E">
            <w:pPr>
              <w:jc w:val="center"/>
              <w:rPr>
                <w:rFonts w:ascii="宋体" w:hAnsi="宋体"/>
                <w:color w:val="000000"/>
                <w:kern w:val="0"/>
                <w:szCs w:val="21"/>
              </w:rPr>
            </w:pPr>
          </w:p>
        </w:tc>
        <w:tc>
          <w:tcPr>
            <w:tcW w:w="6946" w:type="dxa"/>
          </w:tcPr>
          <w:p w14:paraId="59C4E494">
            <w:pP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2</w:t>
            </w:r>
            <w:r>
              <w:rPr>
                <w:rFonts w:hint="eastAsia" w:ascii="宋体" w:hAnsi="宋体"/>
                <w:color w:val="000000"/>
                <w:kern w:val="0"/>
                <w:szCs w:val="21"/>
              </w:rPr>
              <w:t>）卷库管理：卷库建设和管理功能；包含理论试卷的组卷、编辑、查看、删除、共享等；支持选题组卷、随机组卷、智能录卷模式，支持个人、科室、全院、平台四级共享，支持试卷题型、分数比重、难易度分析。</w:t>
            </w:r>
          </w:p>
        </w:tc>
      </w:tr>
      <w:tr w14:paraId="23E41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993C60C">
            <w:pPr>
              <w:jc w:val="center"/>
              <w:rPr>
                <w:rFonts w:ascii="宋体" w:hAnsi="宋体"/>
                <w:kern w:val="0"/>
                <w:szCs w:val="21"/>
              </w:rPr>
            </w:pPr>
          </w:p>
        </w:tc>
        <w:tc>
          <w:tcPr>
            <w:tcW w:w="1134" w:type="dxa"/>
            <w:vMerge w:val="continue"/>
            <w:vAlign w:val="center"/>
          </w:tcPr>
          <w:p w14:paraId="6B26EDC0">
            <w:pPr>
              <w:jc w:val="center"/>
              <w:rPr>
                <w:rFonts w:ascii="宋体" w:hAnsi="宋体"/>
                <w:color w:val="000000"/>
                <w:kern w:val="0"/>
                <w:szCs w:val="21"/>
              </w:rPr>
            </w:pPr>
          </w:p>
        </w:tc>
        <w:tc>
          <w:tcPr>
            <w:tcW w:w="6946" w:type="dxa"/>
          </w:tcPr>
          <w:p w14:paraId="1FB7FD65">
            <w:pP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3</w:t>
            </w:r>
            <w:r>
              <w:rPr>
                <w:rFonts w:hint="eastAsia" w:ascii="宋体" w:hAnsi="宋体"/>
                <w:color w:val="000000"/>
                <w:kern w:val="0"/>
                <w:szCs w:val="21"/>
              </w:rPr>
              <w:t>）考试管理：在线理论考试任务的分级管理功能；包含考试任务的新增、编辑、设置、查看、删除等；需支持出科考试和日常非出科类通用考试的分类管理；支持高、中、低三级防作弊，按防作弊等级设定题目乱序、迟到规则、防复制黏贴、防截屏、单题限时、考生视屏截图监控等；支持单考试任务多套卷的多选多模式(即一个考试任务有多套卷，系统随机和学生自选1套或多套卷考试)和单卷限时模式（一段较长时间内考生均可进入相应考试任务进行考试，一旦开始答题，需在规定的时长内完成答题并交卷）；支持已发布考试任务的考生数据的修正，支持包含学员和职工的全员考生模式，支持考试任务多次提醒，支持按考试任务发起的缓考申请和审批，支持出科考试成绩自动写入轮科成绩表。</w:t>
            </w:r>
          </w:p>
          <w:p w14:paraId="15EE7576">
            <w:pPr>
              <w:rPr>
                <w:rFonts w:ascii="宋体" w:hAnsi="宋体"/>
                <w:color w:val="000000"/>
                <w:kern w:val="0"/>
                <w:szCs w:val="21"/>
              </w:rPr>
            </w:pPr>
            <w:r>
              <w:rPr>
                <w:rFonts w:hint="eastAsia" w:ascii="宋体" w:hAnsi="宋体"/>
                <w:bCs/>
                <w:szCs w:val="21"/>
              </w:rPr>
              <w:t>▲</w:t>
            </w:r>
            <w:r>
              <w:rPr>
                <w:rFonts w:hint="eastAsia" w:ascii="宋体" w:hAnsi="宋体"/>
                <w:color w:val="000000"/>
                <w:kern w:val="0"/>
                <w:szCs w:val="21"/>
              </w:rPr>
              <w:t>需支持按科室设置规则系统自动发起出科考试。</w:t>
            </w:r>
          </w:p>
        </w:tc>
      </w:tr>
      <w:tr w14:paraId="54BDC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B8E9353">
            <w:pPr>
              <w:jc w:val="center"/>
              <w:rPr>
                <w:rFonts w:ascii="宋体" w:hAnsi="宋体"/>
                <w:kern w:val="0"/>
                <w:szCs w:val="21"/>
              </w:rPr>
            </w:pPr>
          </w:p>
        </w:tc>
        <w:tc>
          <w:tcPr>
            <w:tcW w:w="1134" w:type="dxa"/>
            <w:vMerge w:val="continue"/>
            <w:vAlign w:val="center"/>
          </w:tcPr>
          <w:p w14:paraId="6A945B55">
            <w:pPr>
              <w:jc w:val="center"/>
              <w:rPr>
                <w:rFonts w:ascii="宋体" w:hAnsi="宋体"/>
                <w:color w:val="000000"/>
                <w:kern w:val="0"/>
                <w:szCs w:val="21"/>
              </w:rPr>
            </w:pPr>
          </w:p>
        </w:tc>
        <w:tc>
          <w:tcPr>
            <w:tcW w:w="6946" w:type="dxa"/>
          </w:tcPr>
          <w:p w14:paraId="68015926">
            <w:pP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4</w:t>
            </w:r>
            <w:r>
              <w:rPr>
                <w:rFonts w:hint="eastAsia" w:ascii="宋体" w:hAnsi="宋体"/>
                <w:color w:val="000000"/>
                <w:kern w:val="0"/>
                <w:szCs w:val="21"/>
              </w:rPr>
              <w:t>）监考管理：理论考试在线监考分级管理功能；包含考生入场实时情况、催考、考生考试操作记录、考生视频监控截图、现场重考、考生异常标识记录等，支持分级线上巡考权限，支持监考任务提醒。</w:t>
            </w:r>
          </w:p>
        </w:tc>
      </w:tr>
      <w:tr w14:paraId="0631F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0BF4443">
            <w:pPr>
              <w:jc w:val="center"/>
              <w:rPr>
                <w:rFonts w:ascii="宋体" w:hAnsi="宋体"/>
                <w:kern w:val="0"/>
                <w:szCs w:val="21"/>
              </w:rPr>
            </w:pPr>
          </w:p>
        </w:tc>
        <w:tc>
          <w:tcPr>
            <w:tcW w:w="1134" w:type="dxa"/>
            <w:vMerge w:val="continue"/>
            <w:vAlign w:val="center"/>
          </w:tcPr>
          <w:p w14:paraId="18B4C270">
            <w:pPr>
              <w:jc w:val="center"/>
              <w:rPr>
                <w:rFonts w:ascii="宋体" w:hAnsi="宋体"/>
                <w:color w:val="000000"/>
                <w:kern w:val="0"/>
                <w:szCs w:val="21"/>
              </w:rPr>
            </w:pPr>
          </w:p>
        </w:tc>
        <w:tc>
          <w:tcPr>
            <w:tcW w:w="6946" w:type="dxa"/>
          </w:tcPr>
          <w:p w14:paraId="38BBA8C6">
            <w:pP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5</w:t>
            </w:r>
            <w:r>
              <w:rPr>
                <w:rFonts w:hint="eastAsia" w:ascii="宋体" w:hAnsi="宋体"/>
                <w:color w:val="000000"/>
                <w:kern w:val="0"/>
                <w:szCs w:val="21"/>
              </w:rPr>
              <w:t>）阅卷管理：理论考试阅卷管理功能；包含客观题系统自动批改、主观题人工分配阅卷老师线上批阅等，阅卷结束后自动统计分数；支持阅卷进度管理及催阅，支持阅卷任务自动多次提醒，支持历史批改记录查询及重新批改。</w:t>
            </w:r>
          </w:p>
        </w:tc>
      </w:tr>
      <w:tr w14:paraId="52C9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1C2B254">
            <w:pPr>
              <w:jc w:val="center"/>
              <w:rPr>
                <w:rFonts w:ascii="宋体" w:hAnsi="宋体"/>
                <w:kern w:val="0"/>
                <w:szCs w:val="21"/>
              </w:rPr>
            </w:pPr>
          </w:p>
        </w:tc>
        <w:tc>
          <w:tcPr>
            <w:tcW w:w="1134" w:type="dxa"/>
            <w:vMerge w:val="continue"/>
            <w:vAlign w:val="center"/>
          </w:tcPr>
          <w:p w14:paraId="5ED858E6">
            <w:pPr>
              <w:jc w:val="center"/>
              <w:rPr>
                <w:rFonts w:ascii="宋体" w:hAnsi="宋体"/>
                <w:color w:val="000000"/>
                <w:kern w:val="0"/>
                <w:szCs w:val="21"/>
              </w:rPr>
            </w:pPr>
          </w:p>
        </w:tc>
        <w:tc>
          <w:tcPr>
            <w:tcW w:w="6946" w:type="dxa"/>
          </w:tcPr>
          <w:p w14:paraId="75E455B7">
            <w:pP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6</w:t>
            </w:r>
            <w:r>
              <w:rPr>
                <w:rFonts w:hint="eastAsia" w:ascii="宋体" w:hAnsi="宋体"/>
                <w:color w:val="000000"/>
                <w:kern w:val="0"/>
                <w:szCs w:val="21"/>
              </w:rPr>
              <w:t>）成绩管理：理论考试成绩的分级管理功能；包含成绩的查询、成绩导出、答卷导出、分析；支持考试情况综合分析并输出标准的考试成绩分析报告。</w:t>
            </w:r>
          </w:p>
        </w:tc>
      </w:tr>
      <w:tr w14:paraId="5EE1E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1A9554B">
            <w:pPr>
              <w:jc w:val="center"/>
              <w:rPr>
                <w:rFonts w:ascii="宋体" w:hAnsi="宋体"/>
                <w:kern w:val="0"/>
                <w:szCs w:val="21"/>
              </w:rPr>
            </w:pPr>
          </w:p>
        </w:tc>
        <w:tc>
          <w:tcPr>
            <w:tcW w:w="1134" w:type="dxa"/>
            <w:vMerge w:val="continue"/>
            <w:vAlign w:val="center"/>
          </w:tcPr>
          <w:p w14:paraId="2CACCB1B">
            <w:pPr>
              <w:jc w:val="center"/>
              <w:rPr>
                <w:rFonts w:ascii="宋体" w:hAnsi="宋体"/>
                <w:color w:val="000000"/>
                <w:kern w:val="0"/>
                <w:szCs w:val="21"/>
              </w:rPr>
            </w:pPr>
          </w:p>
        </w:tc>
        <w:tc>
          <w:tcPr>
            <w:tcW w:w="6946" w:type="dxa"/>
          </w:tcPr>
          <w:p w14:paraId="289985F5">
            <w:pP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7</w:t>
            </w:r>
            <w:r>
              <w:rPr>
                <w:rFonts w:hint="eastAsia" w:ascii="宋体" w:hAnsi="宋体"/>
                <w:color w:val="000000"/>
                <w:kern w:val="0"/>
                <w:szCs w:val="21"/>
              </w:rPr>
              <w:t>）考试须知：线上考试须知的管理功能；包含考试须知的编辑、查看，支持按考试任务设置考试须知。</w:t>
            </w:r>
          </w:p>
        </w:tc>
      </w:tr>
      <w:tr w14:paraId="4C4D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44DAD54">
            <w:pPr>
              <w:jc w:val="center"/>
              <w:rPr>
                <w:rFonts w:ascii="宋体" w:hAnsi="宋体"/>
                <w:kern w:val="0"/>
                <w:szCs w:val="21"/>
              </w:rPr>
            </w:pPr>
          </w:p>
        </w:tc>
        <w:tc>
          <w:tcPr>
            <w:tcW w:w="1134" w:type="dxa"/>
            <w:vMerge w:val="continue"/>
            <w:vAlign w:val="center"/>
          </w:tcPr>
          <w:p w14:paraId="7971767E">
            <w:pPr>
              <w:jc w:val="center"/>
              <w:rPr>
                <w:rFonts w:ascii="宋体" w:hAnsi="宋体"/>
                <w:color w:val="000000"/>
                <w:kern w:val="0"/>
                <w:szCs w:val="21"/>
              </w:rPr>
            </w:pPr>
          </w:p>
        </w:tc>
        <w:tc>
          <w:tcPr>
            <w:tcW w:w="6946" w:type="dxa"/>
          </w:tcPr>
          <w:p w14:paraId="51688DFF">
            <w:pPr>
              <w:pStyle w:val="13"/>
              <w:numPr>
                <w:ilvl w:val="0"/>
                <w:numId w:val="2"/>
              </w:numPr>
              <w:ind w:left="0" w:firstLineChars="0"/>
              <w:rPr>
                <w:rFonts w:ascii="宋体" w:hAnsi="宋体" w:cs="宋体"/>
                <w:color w:val="000000"/>
                <w:kern w:val="0"/>
                <w:szCs w:val="21"/>
              </w:rPr>
            </w:pPr>
            <w:r>
              <w:rPr>
                <w:rFonts w:hint="eastAsia" w:ascii="宋体" w:hAnsi="宋体"/>
                <w:color w:val="000000"/>
                <w:kern w:val="0"/>
                <w:szCs w:val="21"/>
              </w:rPr>
              <w:t>技能考核子系统，需包含以下功能：</w:t>
            </w:r>
          </w:p>
        </w:tc>
      </w:tr>
      <w:tr w14:paraId="7946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ECA5794">
            <w:pPr>
              <w:jc w:val="center"/>
              <w:rPr>
                <w:rFonts w:ascii="宋体" w:hAnsi="宋体"/>
                <w:kern w:val="0"/>
                <w:szCs w:val="21"/>
              </w:rPr>
            </w:pPr>
          </w:p>
        </w:tc>
        <w:tc>
          <w:tcPr>
            <w:tcW w:w="1134" w:type="dxa"/>
            <w:vMerge w:val="continue"/>
            <w:vAlign w:val="center"/>
          </w:tcPr>
          <w:p w14:paraId="7F3033A4">
            <w:pPr>
              <w:jc w:val="center"/>
              <w:rPr>
                <w:rFonts w:ascii="宋体" w:hAnsi="宋体"/>
                <w:color w:val="000000"/>
                <w:kern w:val="0"/>
                <w:szCs w:val="21"/>
              </w:rPr>
            </w:pPr>
          </w:p>
        </w:tc>
        <w:tc>
          <w:tcPr>
            <w:tcW w:w="6946" w:type="dxa"/>
          </w:tcPr>
          <w:p w14:paraId="7A4D1EE5">
            <w:pP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8</w:t>
            </w:r>
            <w:r>
              <w:rPr>
                <w:rFonts w:hint="eastAsia" w:ascii="宋体" w:hAnsi="宋体"/>
                <w:color w:val="000000"/>
                <w:kern w:val="0"/>
                <w:szCs w:val="21"/>
              </w:rPr>
              <w:t>）考核项目：技能操作考核评分标准管理功能；包含评分标准的新增、编辑、查看、删除、共享等；支持自有评分标准的录入，支持评分标准分个人、科室、全院、平台四级共享，平台免费提供的各类技能考核评分标准不低于200项。</w:t>
            </w:r>
          </w:p>
        </w:tc>
      </w:tr>
      <w:tr w14:paraId="4FA21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6D610EB">
            <w:pPr>
              <w:jc w:val="center"/>
              <w:rPr>
                <w:rFonts w:ascii="宋体" w:hAnsi="宋体"/>
                <w:kern w:val="0"/>
                <w:szCs w:val="21"/>
              </w:rPr>
            </w:pPr>
          </w:p>
        </w:tc>
        <w:tc>
          <w:tcPr>
            <w:tcW w:w="1134" w:type="dxa"/>
            <w:vMerge w:val="continue"/>
            <w:vAlign w:val="center"/>
          </w:tcPr>
          <w:p w14:paraId="3349CBD8">
            <w:pPr>
              <w:jc w:val="center"/>
              <w:rPr>
                <w:rFonts w:ascii="宋体" w:hAnsi="宋体"/>
                <w:color w:val="000000"/>
                <w:kern w:val="0"/>
                <w:szCs w:val="21"/>
              </w:rPr>
            </w:pPr>
          </w:p>
        </w:tc>
        <w:tc>
          <w:tcPr>
            <w:tcW w:w="6946" w:type="dxa"/>
          </w:tcPr>
          <w:p w14:paraId="6C425069">
            <w:pP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9</w:t>
            </w:r>
            <w:r>
              <w:rPr>
                <w:rFonts w:hint="eastAsia" w:ascii="宋体" w:hAnsi="宋体"/>
                <w:color w:val="000000"/>
                <w:kern w:val="0"/>
                <w:szCs w:val="21"/>
              </w:rPr>
              <w:t>）考核管理：技能操作考核任务分级管理功能；包含考核任务的新增、编辑、查看、发布、评分、删除等；支持出科考核和日常非出科类通用考核的分类管理，支持单考试任务多个考核项的多选多模式，支持单任务多个主持评分老师，支持按考核任务发起的缓考申请和审批，支持包含学员和职工的全员考生模式，支持考试任务和主持评分的多次提醒。</w:t>
            </w:r>
          </w:p>
          <w:p w14:paraId="79346600">
            <w:pPr>
              <w:rPr>
                <w:rFonts w:ascii="宋体" w:hAnsi="宋体"/>
                <w:color w:val="000000"/>
                <w:kern w:val="0"/>
                <w:szCs w:val="21"/>
              </w:rPr>
            </w:pPr>
            <w:r>
              <w:rPr>
                <w:rFonts w:hint="eastAsia" w:ascii="宋体" w:hAnsi="宋体"/>
                <w:bCs/>
                <w:szCs w:val="21"/>
              </w:rPr>
              <w:t>▲</w:t>
            </w:r>
            <w:r>
              <w:rPr>
                <w:rFonts w:hint="eastAsia" w:ascii="宋体" w:hAnsi="宋体"/>
                <w:color w:val="000000"/>
                <w:kern w:val="0"/>
                <w:szCs w:val="21"/>
              </w:rPr>
              <w:t>需支持按科室设置规则系统自动发起出科技能考核，且可设定主持考核老师的自动调取规则（按学员的带教或指定职位人员）。</w:t>
            </w:r>
          </w:p>
        </w:tc>
      </w:tr>
      <w:tr w14:paraId="4CF06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54DF15B">
            <w:pPr>
              <w:jc w:val="center"/>
              <w:rPr>
                <w:rFonts w:ascii="宋体" w:hAnsi="宋体"/>
                <w:kern w:val="0"/>
                <w:szCs w:val="21"/>
              </w:rPr>
            </w:pPr>
          </w:p>
        </w:tc>
        <w:tc>
          <w:tcPr>
            <w:tcW w:w="1134" w:type="dxa"/>
            <w:vMerge w:val="continue"/>
            <w:vAlign w:val="center"/>
          </w:tcPr>
          <w:p w14:paraId="17B7069A">
            <w:pPr>
              <w:jc w:val="center"/>
              <w:rPr>
                <w:rFonts w:ascii="宋体" w:hAnsi="宋体"/>
                <w:color w:val="000000"/>
                <w:kern w:val="0"/>
                <w:szCs w:val="21"/>
              </w:rPr>
            </w:pPr>
          </w:p>
        </w:tc>
        <w:tc>
          <w:tcPr>
            <w:tcW w:w="6946" w:type="dxa"/>
          </w:tcPr>
          <w:p w14:paraId="2AAF6931">
            <w:pP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10</w:t>
            </w:r>
            <w:r>
              <w:rPr>
                <w:rFonts w:hint="eastAsia" w:ascii="宋体" w:hAnsi="宋体"/>
                <w:color w:val="000000"/>
                <w:kern w:val="0"/>
                <w:szCs w:val="21"/>
              </w:rPr>
              <w:t>）成绩管理：技能考核成绩的分级管理功能；包含成绩的查询、成绩导出、评分表导出；支持考核过程记录管理，形成标准考核台账，支持移动端评分。</w:t>
            </w:r>
          </w:p>
        </w:tc>
      </w:tr>
      <w:tr w14:paraId="4786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1342C69">
            <w:pPr>
              <w:jc w:val="center"/>
              <w:rPr>
                <w:rFonts w:ascii="宋体" w:hAnsi="宋体"/>
                <w:kern w:val="0"/>
                <w:szCs w:val="21"/>
              </w:rPr>
            </w:pPr>
          </w:p>
        </w:tc>
        <w:tc>
          <w:tcPr>
            <w:tcW w:w="1134" w:type="dxa"/>
            <w:vMerge w:val="continue"/>
            <w:vAlign w:val="center"/>
          </w:tcPr>
          <w:p w14:paraId="147DEB84">
            <w:pPr>
              <w:jc w:val="center"/>
              <w:rPr>
                <w:rFonts w:ascii="宋体" w:hAnsi="宋体"/>
                <w:color w:val="000000"/>
                <w:kern w:val="0"/>
                <w:szCs w:val="21"/>
              </w:rPr>
            </w:pPr>
          </w:p>
        </w:tc>
        <w:tc>
          <w:tcPr>
            <w:tcW w:w="6946" w:type="dxa"/>
          </w:tcPr>
          <w:p w14:paraId="20E4A5C1">
            <w:pPr>
              <w:pStyle w:val="13"/>
              <w:numPr>
                <w:ilvl w:val="0"/>
                <w:numId w:val="2"/>
              </w:numPr>
              <w:ind w:left="0" w:firstLineChars="0"/>
              <w:rPr>
                <w:rFonts w:ascii="宋体" w:hAnsi="宋体"/>
                <w:color w:val="000000"/>
                <w:kern w:val="0"/>
                <w:szCs w:val="21"/>
              </w:rPr>
            </w:pPr>
            <w:r>
              <w:rPr>
                <w:rFonts w:hint="eastAsia" w:ascii="宋体" w:hAnsi="宋体"/>
                <w:color w:val="000000"/>
                <w:kern w:val="0"/>
                <w:szCs w:val="21"/>
              </w:rPr>
              <w:t>考评系统其他全局功能</w:t>
            </w:r>
          </w:p>
        </w:tc>
      </w:tr>
      <w:tr w14:paraId="24A6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754AE0C">
            <w:pPr>
              <w:jc w:val="center"/>
              <w:rPr>
                <w:rFonts w:ascii="宋体" w:hAnsi="宋体"/>
                <w:kern w:val="0"/>
                <w:szCs w:val="21"/>
              </w:rPr>
            </w:pPr>
          </w:p>
        </w:tc>
        <w:tc>
          <w:tcPr>
            <w:tcW w:w="1134" w:type="dxa"/>
            <w:vMerge w:val="continue"/>
            <w:vAlign w:val="center"/>
          </w:tcPr>
          <w:p w14:paraId="6A21828A">
            <w:pPr>
              <w:jc w:val="center"/>
              <w:rPr>
                <w:rFonts w:ascii="宋体" w:hAnsi="宋体"/>
                <w:color w:val="000000"/>
                <w:kern w:val="0"/>
                <w:szCs w:val="21"/>
              </w:rPr>
            </w:pPr>
          </w:p>
        </w:tc>
        <w:tc>
          <w:tcPr>
            <w:tcW w:w="6946" w:type="dxa"/>
          </w:tcPr>
          <w:p w14:paraId="59FB085D">
            <w:pP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11</w:t>
            </w:r>
            <w:r>
              <w:rPr>
                <w:rFonts w:hint="eastAsia" w:ascii="宋体" w:hAnsi="宋体"/>
                <w:color w:val="000000"/>
                <w:kern w:val="0"/>
                <w:szCs w:val="21"/>
              </w:rPr>
              <w:t>）日常考评：学员日常表现评价和日常成绩评分功能；包括日常考评任务的评分进度查询、管理、催评等；支持根据学员的轮转和带教设置规则自动生成日常考评任务，支持是否推荐留院的不同推荐程度记录。</w:t>
            </w:r>
          </w:p>
        </w:tc>
      </w:tr>
      <w:tr w14:paraId="79268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87A2283">
            <w:pPr>
              <w:jc w:val="center"/>
              <w:rPr>
                <w:rFonts w:ascii="宋体" w:hAnsi="宋体"/>
                <w:kern w:val="0"/>
                <w:szCs w:val="21"/>
              </w:rPr>
            </w:pPr>
          </w:p>
        </w:tc>
        <w:tc>
          <w:tcPr>
            <w:tcW w:w="1134" w:type="dxa"/>
            <w:vMerge w:val="continue"/>
            <w:vAlign w:val="center"/>
          </w:tcPr>
          <w:p w14:paraId="55264791">
            <w:pPr>
              <w:jc w:val="center"/>
              <w:rPr>
                <w:rFonts w:ascii="宋体" w:hAnsi="宋体"/>
                <w:color w:val="000000"/>
                <w:kern w:val="0"/>
                <w:szCs w:val="21"/>
              </w:rPr>
            </w:pPr>
          </w:p>
        </w:tc>
        <w:tc>
          <w:tcPr>
            <w:tcW w:w="6946" w:type="dxa"/>
          </w:tcPr>
          <w:p w14:paraId="1606EEE0">
            <w:pP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12</w:t>
            </w:r>
            <w:r>
              <w:rPr>
                <w:rFonts w:hint="eastAsia" w:ascii="宋体" w:hAnsi="宋体"/>
                <w:color w:val="000000"/>
                <w:kern w:val="0"/>
                <w:szCs w:val="21"/>
              </w:rPr>
              <w:t>）轮科成绩：轮转学员的出科成绩表管理功能；包含成绩的明细查询、成绩修正、成绩来源溯源、成绩表导出等，支持成绩修正记录的查询。</w:t>
            </w:r>
          </w:p>
        </w:tc>
      </w:tr>
      <w:tr w14:paraId="0F038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6CC8DCC5">
            <w:pPr>
              <w:jc w:val="center"/>
              <w:rPr>
                <w:rFonts w:ascii="宋体" w:hAnsi="宋体"/>
                <w:kern w:val="0"/>
                <w:szCs w:val="21"/>
              </w:rPr>
            </w:pPr>
            <w:r>
              <w:rPr>
                <w:rFonts w:ascii="宋体" w:hAnsi="宋体"/>
                <w:kern w:val="0"/>
                <w:szCs w:val="21"/>
              </w:rPr>
              <w:t>7</w:t>
            </w:r>
          </w:p>
        </w:tc>
        <w:tc>
          <w:tcPr>
            <w:tcW w:w="1134" w:type="dxa"/>
            <w:vMerge w:val="restart"/>
            <w:vAlign w:val="center"/>
          </w:tcPr>
          <w:p w14:paraId="30C0B72E">
            <w:pPr>
              <w:jc w:val="center"/>
              <w:rPr>
                <w:rFonts w:ascii="宋体" w:hAnsi="宋体"/>
                <w:color w:val="000000"/>
                <w:kern w:val="0"/>
                <w:szCs w:val="21"/>
              </w:rPr>
            </w:pPr>
            <w:r>
              <w:rPr>
                <w:rFonts w:hint="eastAsia" w:ascii="宋体" w:hAnsi="宋体"/>
                <w:color w:val="000000"/>
                <w:kern w:val="0"/>
                <w:szCs w:val="21"/>
              </w:rPr>
              <w:t>生活系列</w:t>
            </w:r>
          </w:p>
        </w:tc>
        <w:tc>
          <w:tcPr>
            <w:tcW w:w="6946" w:type="dxa"/>
          </w:tcPr>
          <w:p w14:paraId="1B743018">
            <w:pPr>
              <w:rPr>
                <w:rFonts w:ascii="宋体" w:hAnsi="宋体"/>
                <w:color w:val="000000"/>
                <w:kern w:val="0"/>
                <w:szCs w:val="21"/>
              </w:rPr>
            </w:pPr>
            <w:r>
              <w:rPr>
                <w:rFonts w:hint="eastAsia" w:ascii="宋体" w:hAnsi="宋体"/>
                <w:color w:val="000000"/>
                <w:kern w:val="0"/>
                <w:szCs w:val="21"/>
              </w:rPr>
              <w:t>（1）楼宇管理：宿舍楼栋、房号、床号管理功能；包括宿舍楼的新增、编辑、删除、查询，房号的新增、编辑、删除、查询等。</w:t>
            </w:r>
          </w:p>
        </w:tc>
      </w:tr>
      <w:tr w14:paraId="447E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1F3ADA6">
            <w:pPr>
              <w:jc w:val="center"/>
              <w:rPr>
                <w:rFonts w:ascii="宋体" w:hAnsi="宋体"/>
                <w:kern w:val="0"/>
                <w:szCs w:val="21"/>
              </w:rPr>
            </w:pPr>
          </w:p>
        </w:tc>
        <w:tc>
          <w:tcPr>
            <w:tcW w:w="1134" w:type="dxa"/>
            <w:vMerge w:val="continue"/>
            <w:vAlign w:val="center"/>
          </w:tcPr>
          <w:p w14:paraId="59B59CA7">
            <w:pPr>
              <w:jc w:val="center"/>
              <w:rPr>
                <w:rFonts w:ascii="宋体" w:hAnsi="宋体"/>
                <w:color w:val="000000"/>
                <w:kern w:val="0"/>
                <w:szCs w:val="21"/>
              </w:rPr>
            </w:pPr>
          </w:p>
        </w:tc>
        <w:tc>
          <w:tcPr>
            <w:tcW w:w="6946" w:type="dxa"/>
          </w:tcPr>
          <w:p w14:paraId="1BEA4057">
            <w:pP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2</w:t>
            </w:r>
            <w:r>
              <w:rPr>
                <w:rFonts w:hint="eastAsia" w:ascii="宋体" w:hAnsi="宋体"/>
                <w:color w:val="000000"/>
                <w:kern w:val="0"/>
                <w:szCs w:val="21"/>
              </w:rPr>
              <w:t>）住宿管理：学员住宿管理功能；包括入住、退房、调房等；支持余位统计，支持学员调房申请审批。</w:t>
            </w:r>
          </w:p>
        </w:tc>
      </w:tr>
      <w:tr w14:paraId="40095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F75E89B">
            <w:pPr>
              <w:jc w:val="center"/>
              <w:rPr>
                <w:rFonts w:ascii="宋体" w:hAnsi="宋体"/>
                <w:kern w:val="0"/>
                <w:szCs w:val="21"/>
              </w:rPr>
            </w:pPr>
          </w:p>
        </w:tc>
        <w:tc>
          <w:tcPr>
            <w:tcW w:w="1134" w:type="dxa"/>
            <w:vMerge w:val="continue"/>
            <w:vAlign w:val="center"/>
          </w:tcPr>
          <w:p w14:paraId="0F676E8A">
            <w:pPr>
              <w:jc w:val="center"/>
              <w:rPr>
                <w:rFonts w:ascii="宋体" w:hAnsi="宋体"/>
                <w:color w:val="000000"/>
                <w:kern w:val="0"/>
                <w:szCs w:val="21"/>
              </w:rPr>
            </w:pPr>
          </w:p>
        </w:tc>
        <w:tc>
          <w:tcPr>
            <w:tcW w:w="6946" w:type="dxa"/>
          </w:tcPr>
          <w:p w14:paraId="18646D12">
            <w:pP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3</w:t>
            </w:r>
            <w:r>
              <w:rPr>
                <w:rFonts w:hint="eastAsia" w:ascii="宋体" w:hAnsi="宋体"/>
                <w:color w:val="000000"/>
                <w:kern w:val="0"/>
                <w:szCs w:val="21"/>
              </w:rPr>
              <w:t>）外宿管理：学员外宿的登记管理功能；包括外宿记录的新增、编辑、删除、查询等；</w:t>
            </w:r>
          </w:p>
        </w:tc>
      </w:tr>
      <w:tr w14:paraId="50BE2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27AA0E50">
            <w:pPr>
              <w:jc w:val="center"/>
              <w:rPr>
                <w:rFonts w:ascii="宋体" w:hAnsi="宋体"/>
                <w:kern w:val="0"/>
                <w:szCs w:val="21"/>
              </w:rPr>
            </w:pPr>
            <w:r>
              <w:rPr>
                <w:rFonts w:ascii="宋体" w:hAnsi="宋体"/>
                <w:kern w:val="0"/>
                <w:szCs w:val="21"/>
              </w:rPr>
              <w:t>8</w:t>
            </w:r>
          </w:p>
        </w:tc>
        <w:tc>
          <w:tcPr>
            <w:tcW w:w="1134" w:type="dxa"/>
            <w:vMerge w:val="restart"/>
            <w:vAlign w:val="center"/>
          </w:tcPr>
          <w:p w14:paraId="79EDC594">
            <w:pPr>
              <w:jc w:val="center"/>
              <w:rPr>
                <w:rFonts w:ascii="宋体" w:hAnsi="宋体"/>
                <w:color w:val="000000"/>
                <w:kern w:val="0"/>
                <w:szCs w:val="21"/>
              </w:rPr>
            </w:pPr>
            <w:r>
              <w:rPr>
                <w:rFonts w:hint="eastAsia" w:ascii="宋体" w:hAnsi="宋体"/>
                <w:color w:val="000000"/>
                <w:kern w:val="0"/>
                <w:szCs w:val="21"/>
              </w:rPr>
              <w:t>数据系列</w:t>
            </w:r>
          </w:p>
        </w:tc>
        <w:tc>
          <w:tcPr>
            <w:tcW w:w="6946" w:type="dxa"/>
          </w:tcPr>
          <w:p w14:paraId="3AB78D9D">
            <w:pPr>
              <w:rPr>
                <w:rFonts w:ascii="宋体" w:hAnsi="宋体"/>
                <w:color w:val="000000"/>
                <w:kern w:val="0"/>
                <w:szCs w:val="21"/>
              </w:rPr>
            </w:pPr>
            <w:r>
              <w:rPr>
                <w:rFonts w:hint="eastAsia" w:ascii="宋体" w:hAnsi="宋体"/>
                <w:color w:val="000000"/>
                <w:kern w:val="0"/>
                <w:szCs w:val="21"/>
              </w:rPr>
              <w:t>▲（1）活动台账：教学活动结束归档后统一管理的功能。包括台账的预览和下载，支持批量异步下载。</w:t>
            </w:r>
          </w:p>
        </w:tc>
      </w:tr>
      <w:tr w14:paraId="5C42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B365B09">
            <w:pPr>
              <w:jc w:val="center"/>
              <w:rPr>
                <w:rFonts w:ascii="宋体" w:hAnsi="宋体"/>
                <w:kern w:val="0"/>
                <w:szCs w:val="21"/>
              </w:rPr>
            </w:pPr>
          </w:p>
        </w:tc>
        <w:tc>
          <w:tcPr>
            <w:tcW w:w="1134" w:type="dxa"/>
            <w:vMerge w:val="continue"/>
            <w:vAlign w:val="center"/>
          </w:tcPr>
          <w:p w14:paraId="18483D38">
            <w:pPr>
              <w:jc w:val="center"/>
              <w:rPr>
                <w:rFonts w:ascii="宋体" w:hAnsi="宋体"/>
                <w:color w:val="000000"/>
                <w:kern w:val="0"/>
                <w:szCs w:val="21"/>
              </w:rPr>
            </w:pPr>
          </w:p>
        </w:tc>
        <w:tc>
          <w:tcPr>
            <w:tcW w:w="6946" w:type="dxa"/>
          </w:tcPr>
          <w:p w14:paraId="231C8AE5">
            <w:pP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2</w:t>
            </w:r>
            <w:r>
              <w:rPr>
                <w:rFonts w:hint="eastAsia" w:ascii="宋体" w:hAnsi="宋体"/>
                <w:color w:val="000000"/>
                <w:kern w:val="0"/>
                <w:szCs w:val="21"/>
              </w:rPr>
              <w:t>）教学统计：带教老师的教学工作量统计功能，包括带教数量、分类活动主持数量、考试考核主持数量等，支持自定义设置纳入工作量统计的活动类别，支持按带教个人和按科室的分类统计，支持按学员类型分类统计。</w:t>
            </w:r>
          </w:p>
        </w:tc>
      </w:tr>
      <w:tr w14:paraId="7DE0C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63DD17F">
            <w:pPr>
              <w:jc w:val="center"/>
              <w:rPr>
                <w:rFonts w:ascii="宋体" w:hAnsi="宋体"/>
                <w:kern w:val="0"/>
                <w:szCs w:val="21"/>
              </w:rPr>
            </w:pPr>
          </w:p>
        </w:tc>
        <w:tc>
          <w:tcPr>
            <w:tcW w:w="1134" w:type="dxa"/>
            <w:vMerge w:val="continue"/>
            <w:vAlign w:val="center"/>
          </w:tcPr>
          <w:p w14:paraId="12A259EE">
            <w:pPr>
              <w:jc w:val="center"/>
              <w:rPr>
                <w:rFonts w:ascii="宋体" w:hAnsi="宋体"/>
                <w:color w:val="000000"/>
                <w:kern w:val="0"/>
                <w:szCs w:val="21"/>
              </w:rPr>
            </w:pPr>
          </w:p>
        </w:tc>
        <w:tc>
          <w:tcPr>
            <w:tcW w:w="6946" w:type="dxa"/>
          </w:tcPr>
          <w:p w14:paraId="1E41DB6F">
            <w:pP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3</w:t>
            </w:r>
            <w:r>
              <w:rPr>
                <w:rFonts w:hint="eastAsia" w:ascii="宋体" w:hAnsi="宋体"/>
                <w:color w:val="000000"/>
                <w:kern w:val="0"/>
                <w:szCs w:val="21"/>
              </w:rPr>
              <w:t>）活动质控：教学科室月度活动执行的数量、质量、记录、时效的质量管理功能；需支持按月进行科室间排名；</w:t>
            </w:r>
          </w:p>
          <w:p w14:paraId="4527C108">
            <w:pPr>
              <w:rPr>
                <w:rFonts w:ascii="宋体" w:hAnsi="宋体"/>
                <w:color w:val="000000"/>
                <w:kern w:val="0"/>
                <w:szCs w:val="21"/>
              </w:rPr>
            </w:pPr>
            <w:r>
              <w:rPr>
                <w:rFonts w:hint="eastAsia" w:ascii="宋体" w:hAnsi="宋体"/>
                <w:color w:val="000000"/>
                <w:kern w:val="0"/>
                <w:szCs w:val="21"/>
              </w:rPr>
              <w:t>需支持自定义设置需监管的目标科室以及需监控的参数，参数数量不少于</w:t>
            </w:r>
            <w:r>
              <w:rPr>
                <w:rFonts w:ascii="宋体" w:hAnsi="宋体"/>
                <w:color w:val="000000"/>
                <w:kern w:val="0"/>
                <w:szCs w:val="21"/>
              </w:rPr>
              <w:t>3</w:t>
            </w:r>
            <w:r>
              <w:rPr>
                <w:rFonts w:hint="eastAsia" w:ascii="宋体" w:hAnsi="宋体"/>
                <w:color w:val="000000"/>
                <w:kern w:val="0"/>
                <w:szCs w:val="21"/>
              </w:rPr>
              <w:t>种（包括并不限于数量、记录、时效），目标科室可以是专科/病区，也可以是教研室/片区。</w:t>
            </w:r>
          </w:p>
        </w:tc>
      </w:tr>
      <w:tr w14:paraId="06715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621A3E3">
            <w:pPr>
              <w:jc w:val="center"/>
              <w:rPr>
                <w:rFonts w:ascii="宋体" w:hAnsi="宋体"/>
                <w:kern w:val="0"/>
                <w:szCs w:val="21"/>
              </w:rPr>
            </w:pPr>
          </w:p>
        </w:tc>
        <w:tc>
          <w:tcPr>
            <w:tcW w:w="1134" w:type="dxa"/>
            <w:vMerge w:val="continue"/>
            <w:vAlign w:val="center"/>
          </w:tcPr>
          <w:p w14:paraId="34EC9F97">
            <w:pPr>
              <w:jc w:val="center"/>
              <w:rPr>
                <w:rFonts w:ascii="宋体" w:hAnsi="宋体"/>
                <w:color w:val="000000"/>
                <w:kern w:val="0"/>
                <w:szCs w:val="21"/>
              </w:rPr>
            </w:pPr>
          </w:p>
        </w:tc>
        <w:tc>
          <w:tcPr>
            <w:tcW w:w="6946" w:type="dxa"/>
          </w:tcPr>
          <w:p w14:paraId="7B2EB11E">
            <w:pP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4</w:t>
            </w:r>
            <w:r>
              <w:rPr>
                <w:rFonts w:hint="eastAsia" w:ascii="宋体" w:hAnsi="宋体"/>
                <w:color w:val="000000"/>
                <w:kern w:val="0"/>
                <w:szCs w:val="21"/>
              </w:rPr>
              <w:t>）轮转质控：教学科室月度二次排科和带教配置情况管理功能；支持按月进行科室间排名；</w:t>
            </w:r>
          </w:p>
        </w:tc>
      </w:tr>
      <w:tr w14:paraId="78D45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32A2416B">
            <w:pPr>
              <w:jc w:val="center"/>
              <w:rPr>
                <w:rFonts w:ascii="宋体" w:hAnsi="宋体"/>
                <w:kern w:val="0"/>
                <w:szCs w:val="21"/>
              </w:rPr>
            </w:pPr>
            <w:r>
              <w:rPr>
                <w:rFonts w:ascii="宋体" w:hAnsi="宋体"/>
                <w:kern w:val="0"/>
                <w:szCs w:val="21"/>
              </w:rPr>
              <w:t>9</w:t>
            </w:r>
          </w:p>
        </w:tc>
        <w:tc>
          <w:tcPr>
            <w:tcW w:w="1134" w:type="dxa"/>
            <w:vMerge w:val="restart"/>
            <w:vAlign w:val="center"/>
          </w:tcPr>
          <w:p w14:paraId="37D4F615">
            <w:pPr>
              <w:jc w:val="center"/>
              <w:rPr>
                <w:rFonts w:ascii="宋体" w:hAnsi="宋体"/>
                <w:color w:val="000000"/>
                <w:kern w:val="0"/>
                <w:szCs w:val="21"/>
              </w:rPr>
            </w:pPr>
            <w:r>
              <w:rPr>
                <w:rFonts w:hint="eastAsia" w:ascii="宋体" w:hAnsi="宋体"/>
                <w:color w:val="000000"/>
                <w:kern w:val="0"/>
                <w:szCs w:val="21"/>
              </w:rPr>
              <w:t>系统管理</w:t>
            </w:r>
          </w:p>
        </w:tc>
        <w:tc>
          <w:tcPr>
            <w:tcW w:w="6946" w:type="dxa"/>
          </w:tcPr>
          <w:p w14:paraId="09CFDCFD">
            <w:pPr>
              <w:rPr>
                <w:rFonts w:ascii="宋体" w:hAnsi="宋体"/>
                <w:color w:val="000000"/>
                <w:kern w:val="0"/>
                <w:szCs w:val="21"/>
              </w:rPr>
            </w:pPr>
            <w:r>
              <w:rPr>
                <w:rFonts w:hint="eastAsia" w:ascii="宋体" w:hAnsi="宋体"/>
                <w:color w:val="000000"/>
                <w:kern w:val="0"/>
                <w:szCs w:val="21"/>
              </w:rPr>
              <w:t>（1）行政组织：全院职工编制组织架构管理的应用；包含各级科室/部门的新增、编辑、删除等，行政组织对标医院内部的行政组织架构。</w:t>
            </w:r>
          </w:p>
        </w:tc>
      </w:tr>
      <w:tr w14:paraId="5FA96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A40EE70">
            <w:pPr>
              <w:jc w:val="center"/>
              <w:rPr>
                <w:rFonts w:ascii="宋体" w:hAnsi="宋体"/>
                <w:kern w:val="0"/>
                <w:szCs w:val="21"/>
              </w:rPr>
            </w:pPr>
          </w:p>
        </w:tc>
        <w:tc>
          <w:tcPr>
            <w:tcW w:w="1134" w:type="dxa"/>
            <w:vMerge w:val="continue"/>
            <w:vAlign w:val="center"/>
          </w:tcPr>
          <w:p w14:paraId="58AEB33D">
            <w:pPr>
              <w:jc w:val="center"/>
              <w:rPr>
                <w:rFonts w:ascii="宋体" w:hAnsi="宋体"/>
                <w:color w:val="000000"/>
                <w:kern w:val="0"/>
                <w:szCs w:val="21"/>
              </w:rPr>
            </w:pPr>
          </w:p>
        </w:tc>
        <w:tc>
          <w:tcPr>
            <w:tcW w:w="6946" w:type="dxa"/>
          </w:tcPr>
          <w:p w14:paraId="49855352">
            <w:pP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2</w:t>
            </w:r>
            <w:r>
              <w:rPr>
                <w:rFonts w:hint="eastAsia" w:ascii="宋体" w:hAnsi="宋体"/>
                <w:color w:val="000000"/>
                <w:kern w:val="0"/>
                <w:szCs w:val="21"/>
              </w:rPr>
              <w:t>）教研组织：全院教职工教学组织架构管理的应用；包含各级教研室、专科、亚专科的新增、编辑、删除等；教研组织对标医院内部的教学组织架构；</w:t>
            </w:r>
          </w:p>
        </w:tc>
      </w:tr>
      <w:tr w14:paraId="00465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4454566">
            <w:pPr>
              <w:jc w:val="center"/>
              <w:rPr>
                <w:rFonts w:ascii="宋体" w:hAnsi="宋体"/>
                <w:kern w:val="0"/>
                <w:szCs w:val="21"/>
              </w:rPr>
            </w:pPr>
          </w:p>
        </w:tc>
        <w:tc>
          <w:tcPr>
            <w:tcW w:w="1134" w:type="dxa"/>
            <w:vMerge w:val="continue"/>
            <w:vAlign w:val="center"/>
          </w:tcPr>
          <w:p w14:paraId="0C935EEB">
            <w:pPr>
              <w:jc w:val="center"/>
              <w:rPr>
                <w:rFonts w:ascii="宋体" w:hAnsi="宋体"/>
                <w:color w:val="000000"/>
                <w:kern w:val="0"/>
                <w:szCs w:val="21"/>
              </w:rPr>
            </w:pPr>
          </w:p>
        </w:tc>
        <w:tc>
          <w:tcPr>
            <w:tcW w:w="6946" w:type="dxa"/>
          </w:tcPr>
          <w:p w14:paraId="70E34B40">
            <w:pP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3</w:t>
            </w:r>
            <w:r>
              <w:rPr>
                <w:rFonts w:hint="eastAsia" w:ascii="宋体" w:hAnsi="宋体"/>
                <w:color w:val="000000"/>
                <w:kern w:val="0"/>
                <w:szCs w:val="21"/>
              </w:rPr>
              <w:t>）职工管理：全院所有职工基本信息管理的功能；包含职工的新增、编辑、删除、导入、导出；全院职工在行政组织中具有唯一性，即一个职工只有1个所属的科室或部门；需支持不限职工用户数量。</w:t>
            </w:r>
          </w:p>
        </w:tc>
      </w:tr>
      <w:tr w14:paraId="0FE5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A12E1FA">
            <w:pPr>
              <w:jc w:val="center"/>
              <w:rPr>
                <w:rFonts w:ascii="宋体" w:hAnsi="宋体"/>
                <w:kern w:val="0"/>
                <w:szCs w:val="21"/>
              </w:rPr>
            </w:pPr>
          </w:p>
        </w:tc>
        <w:tc>
          <w:tcPr>
            <w:tcW w:w="1134" w:type="dxa"/>
            <w:vMerge w:val="continue"/>
            <w:vAlign w:val="center"/>
          </w:tcPr>
          <w:p w14:paraId="4F507AC8">
            <w:pPr>
              <w:jc w:val="center"/>
              <w:rPr>
                <w:rFonts w:ascii="宋体" w:hAnsi="宋体"/>
                <w:color w:val="000000"/>
                <w:kern w:val="0"/>
                <w:szCs w:val="21"/>
              </w:rPr>
            </w:pPr>
          </w:p>
        </w:tc>
        <w:tc>
          <w:tcPr>
            <w:tcW w:w="6946" w:type="dxa"/>
          </w:tcPr>
          <w:p w14:paraId="3F84A16E">
            <w:pP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4</w:t>
            </w:r>
            <w:r>
              <w:rPr>
                <w:rFonts w:hint="eastAsia" w:ascii="宋体" w:hAnsi="宋体"/>
                <w:color w:val="000000"/>
                <w:kern w:val="0"/>
                <w:szCs w:val="21"/>
              </w:rPr>
              <w:t>）教学人员：全院所有教学职工信息管理的功能；包含教学职工的选聘、新增、编辑、中止带教、导入、导出、账号禁用/启用等；支持教职工的二维码注册和审核，支持教学管理人员管理范围的设置，支持教学管理岗位的移交申请与审批。</w:t>
            </w:r>
          </w:p>
          <w:p w14:paraId="6864886C">
            <w:pPr>
              <w:rPr>
                <w:rFonts w:ascii="宋体" w:hAnsi="宋体"/>
                <w:color w:val="000000"/>
                <w:kern w:val="0"/>
                <w:szCs w:val="21"/>
              </w:rPr>
            </w:pPr>
            <w:r>
              <w:rPr>
                <w:rFonts w:hint="eastAsia" w:ascii="宋体" w:hAnsi="宋体"/>
                <w:bCs/>
                <w:szCs w:val="21"/>
              </w:rPr>
              <w:t>▲需</w:t>
            </w:r>
            <w:r>
              <w:rPr>
                <w:rFonts w:hint="eastAsia" w:ascii="宋体" w:hAnsi="宋体"/>
                <w:color w:val="000000"/>
                <w:kern w:val="0"/>
                <w:szCs w:val="21"/>
              </w:rPr>
              <w:t>支持教学职工在教研组织中可多科室教学，即一个教学职工可以有多个所属的教学科室或部门，以满足部分带教老师需要承担多个专科/亚专科教学的需求；</w:t>
            </w:r>
          </w:p>
        </w:tc>
      </w:tr>
      <w:tr w14:paraId="2234B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D3DCA72">
            <w:pPr>
              <w:jc w:val="center"/>
              <w:rPr>
                <w:rFonts w:ascii="宋体" w:hAnsi="宋体"/>
                <w:kern w:val="0"/>
                <w:szCs w:val="21"/>
              </w:rPr>
            </w:pPr>
          </w:p>
        </w:tc>
        <w:tc>
          <w:tcPr>
            <w:tcW w:w="1134" w:type="dxa"/>
            <w:vMerge w:val="continue"/>
            <w:vAlign w:val="center"/>
          </w:tcPr>
          <w:p w14:paraId="33EB7B91">
            <w:pPr>
              <w:jc w:val="center"/>
              <w:rPr>
                <w:rFonts w:ascii="宋体" w:hAnsi="宋体"/>
                <w:color w:val="000000"/>
                <w:kern w:val="0"/>
                <w:szCs w:val="21"/>
              </w:rPr>
            </w:pPr>
          </w:p>
        </w:tc>
        <w:tc>
          <w:tcPr>
            <w:tcW w:w="6946" w:type="dxa"/>
          </w:tcPr>
          <w:p w14:paraId="086A77F5">
            <w:pP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5</w:t>
            </w:r>
            <w:r>
              <w:rPr>
                <w:rFonts w:hint="eastAsia" w:ascii="宋体" w:hAnsi="宋体"/>
                <w:color w:val="000000"/>
                <w:kern w:val="0"/>
                <w:szCs w:val="21"/>
              </w:rPr>
              <w:t>）教学职位：与教研组织相对应的教研组织岗位设置与管理的功能；包含职位的新增、编辑、删除等；支持教学职工多教学职位设置，以满足教学人员多职位以及多学科交叉建设管理的需求。</w:t>
            </w:r>
          </w:p>
        </w:tc>
      </w:tr>
      <w:tr w14:paraId="3CA6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1248D4F">
            <w:pPr>
              <w:jc w:val="center"/>
              <w:rPr>
                <w:rFonts w:ascii="宋体" w:hAnsi="宋体"/>
                <w:kern w:val="0"/>
                <w:szCs w:val="21"/>
              </w:rPr>
            </w:pPr>
          </w:p>
        </w:tc>
        <w:tc>
          <w:tcPr>
            <w:tcW w:w="1134" w:type="dxa"/>
            <w:vMerge w:val="continue"/>
            <w:vAlign w:val="center"/>
          </w:tcPr>
          <w:p w14:paraId="5234E245">
            <w:pPr>
              <w:jc w:val="center"/>
              <w:rPr>
                <w:rFonts w:ascii="宋体" w:hAnsi="宋体"/>
                <w:color w:val="000000"/>
                <w:kern w:val="0"/>
                <w:szCs w:val="21"/>
              </w:rPr>
            </w:pPr>
          </w:p>
        </w:tc>
        <w:tc>
          <w:tcPr>
            <w:tcW w:w="6946" w:type="dxa"/>
          </w:tcPr>
          <w:p w14:paraId="00205288">
            <w:pP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6</w:t>
            </w:r>
            <w:r>
              <w:rPr>
                <w:rFonts w:hint="eastAsia" w:ascii="宋体" w:hAnsi="宋体"/>
                <w:color w:val="000000"/>
                <w:kern w:val="0"/>
                <w:szCs w:val="21"/>
              </w:rPr>
              <w:t>）角色权限：系统教职工用户的角色设置和功能权限设置功能，包含角色的新增、编辑、删除等；</w:t>
            </w:r>
          </w:p>
        </w:tc>
      </w:tr>
      <w:tr w14:paraId="6338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1208EF9">
            <w:pPr>
              <w:jc w:val="center"/>
              <w:rPr>
                <w:rFonts w:ascii="宋体" w:hAnsi="宋体"/>
                <w:kern w:val="0"/>
                <w:szCs w:val="21"/>
              </w:rPr>
            </w:pPr>
          </w:p>
        </w:tc>
        <w:tc>
          <w:tcPr>
            <w:tcW w:w="1134" w:type="dxa"/>
            <w:vMerge w:val="continue"/>
            <w:vAlign w:val="center"/>
          </w:tcPr>
          <w:p w14:paraId="3EAE6123">
            <w:pPr>
              <w:jc w:val="center"/>
              <w:rPr>
                <w:rFonts w:ascii="宋体" w:hAnsi="宋体"/>
                <w:color w:val="000000"/>
                <w:kern w:val="0"/>
                <w:szCs w:val="21"/>
              </w:rPr>
            </w:pPr>
          </w:p>
        </w:tc>
        <w:tc>
          <w:tcPr>
            <w:tcW w:w="6946" w:type="dxa"/>
          </w:tcPr>
          <w:p w14:paraId="531AEF1C">
            <w:pP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7</w:t>
            </w:r>
            <w:r>
              <w:rPr>
                <w:rFonts w:hint="eastAsia" w:ascii="宋体" w:hAnsi="宋体"/>
                <w:color w:val="000000"/>
                <w:kern w:val="0"/>
                <w:szCs w:val="21"/>
              </w:rPr>
              <w:t>）合作机构：与本院有教学合作的院校、医院、单位的分类管理功能；包含合作机构的新增、编辑、查询、中止合作等；</w:t>
            </w:r>
          </w:p>
        </w:tc>
      </w:tr>
      <w:tr w14:paraId="49B3C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9E8888C">
            <w:pPr>
              <w:jc w:val="center"/>
              <w:rPr>
                <w:rFonts w:ascii="宋体" w:hAnsi="宋体"/>
                <w:kern w:val="0"/>
                <w:szCs w:val="21"/>
              </w:rPr>
            </w:pPr>
          </w:p>
        </w:tc>
        <w:tc>
          <w:tcPr>
            <w:tcW w:w="1134" w:type="dxa"/>
            <w:vMerge w:val="continue"/>
            <w:vAlign w:val="center"/>
          </w:tcPr>
          <w:p w14:paraId="44C05F7C">
            <w:pPr>
              <w:jc w:val="center"/>
              <w:rPr>
                <w:rFonts w:ascii="宋体" w:hAnsi="宋体"/>
                <w:color w:val="000000"/>
                <w:kern w:val="0"/>
                <w:szCs w:val="21"/>
              </w:rPr>
            </w:pPr>
          </w:p>
        </w:tc>
        <w:tc>
          <w:tcPr>
            <w:tcW w:w="6946" w:type="dxa"/>
          </w:tcPr>
          <w:p w14:paraId="7529AF76">
            <w:pP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8</w:t>
            </w:r>
            <w:r>
              <w:rPr>
                <w:rFonts w:hint="eastAsia" w:ascii="宋体" w:hAnsi="宋体"/>
                <w:color w:val="000000"/>
                <w:kern w:val="0"/>
                <w:szCs w:val="21"/>
              </w:rPr>
              <w:t>）教培专业：本院历来招收的各类学员专业的分类管理统计功能；包含专业的新增、编辑、删除等；支持按专业统计学员人数；</w:t>
            </w:r>
          </w:p>
        </w:tc>
      </w:tr>
      <w:tr w14:paraId="177B6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897" w:type="dxa"/>
            <w:gridSpan w:val="3"/>
            <w:vAlign w:val="center"/>
          </w:tcPr>
          <w:p w14:paraId="0A8A2B5D">
            <w:pPr>
              <w:rPr>
                <w:rFonts w:ascii="宋体" w:hAnsi="宋体"/>
                <w:b/>
                <w:color w:val="000000"/>
                <w:kern w:val="0"/>
                <w:szCs w:val="21"/>
              </w:rPr>
            </w:pPr>
            <w:r>
              <w:rPr>
                <w:rFonts w:hint="eastAsia" w:ascii="宋体" w:hAnsi="宋体"/>
                <w:b/>
                <w:color w:val="000000"/>
                <w:kern w:val="0"/>
                <w:szCs w:val="21"/>
              </w:rPr>
              <w:t>（二</w:t>
            </w:r>
            <w:r>
              <w:rPr>
                <w:rFonts w:ascii="宋体" w:hAnsi="宋体"/>
                <w:b/>
                <w:color w:val="000000"/>
                <w:kern w:val="0"/>
                <w:szCs w:val="21"/>
              </w:rPr>
              <w:t>）</w:t>
            </w:r>
            <w:r>
              <w:rPr>
                <w:rFonts w:hint="eastAsia" w:ascii="宋体" w:hAnsi="宋体"/>
                <w:b/>
                <w:color w:val="000000"/>
                <w:kern w:val="0"/>
                <w:szCs w:val="21"/>
              </w:rPr>
              <w:t>产品技术</w:t>
            </w:r>
          </w:p>
        </w:tc>
      </w:tr>
      <w:tr w14:paraId="5F07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17" w:type="dxa"/>
            <w:vMerge w:val="restart"/>
            <w:vAlign w:val="center"/>
          </w:tcPr>
          <w:p w14:paraId="44170439">
            <w:pPr>
              <w:jc w:val="center"/>
              <w:rPr>
                <w:rFonts w:ascii="宋体" w:hAnsi="宋体"/>
                <w:kern w:val="0"/>
                <w:szCs w:val="21"/>
              </w:rPr>
            </w:pPr>
            <w:r>
              <w:rPr>
                <w:rFonts w:hint="eastAsia" w:ascii="宋体" w:hAnsi="宋体"/>
                <w:kern w:val="0"/>
                <w:szCs w:val="21"/>
              </w:rPr>
              <w:t>1</w:t>
            </w:r>
          </w:p>
        </w:tc>
        <w:tc>
          <w:tcPr>
            <w:tcW w:w="1134" w:type="dxa"/>
            <w:vMerge w:val="restart"/>
            <w:vAlign w:val="center"/>
          </w:tcPr>
          <w:p w14:paraId="4F9CC00D">
            <w:pPr>
              <w:jc w:val="center"/>
              <w:rPr>
                <w:rFonts w:ascii="宋体" w:hAnsi="宋体"/>
                <w:color w:val="000000"/>
                <w:kern w:val="0"/>
                <w:szCs w:val="21"/>
              </w:rPr>
            </w:pPr>
            <w:r>
              <w:rPr>
                <w:rFonts w:hint="eastAsia" w:ascii="宋体" w:hAnsi="宋体"/>
                <w:color w:val="000000"/>
                <w:kern w:val="0"/>
                <w:szCs w:val="21"/>
              </w:rPr>
              <w:t>系统设计</w:t>
            </w:r>
          </w:p>
        </w:tc>
        <w:tc>
          <w:tcPr>
            <w:tcW w:w="6946" w:type="dxa"/>
          </w:tcPr>
          <w:p w14:paraId="2A7518A5">
            <w:pPr>
              <w:rPr>
                <w:rFonts w:ascii="宋体" w:hAnsi="宋体"/>
                <w:color w:val="000000"/>
                <w:kern w:val="0"/>
                <w:szCs w:val="21"/>
              </w:rPr>
            </w:pPr>
            <w:r>
              <w:rPr>
                <w:rFonts w:hint="eastAsia" w:ascii="宋体" w:hAnsi="宋体"/>
                <w:color w:val="000000"/>
                <w:kern w:val="0"/>
                <w:szCs w:val="21"/>
              </w:rPr>
              <w:t>（1）先进性：以促进工作安全发展为指导原则，确保系统成熟稳定的同时且能放眼未来迎合发展。</w:t>
            </w:r>
          </w:p>
        </w:tc>
      </w:tr>
      <w:tr w14:paraId="6EDBB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17" w:type="dxa"/>
            <w:vMerge w:val="continue"/>
            <w:vAlign w:val="center"/>
          </w:tcPr>
          <w:p w14:paraId="5FCD9B91">
            <w:pPr>
              <w:jc w:val="center"/>
              <w:rPr>
                <w:rFonts w:ascii="宋体" w:hAnsi="宋体"/>
                <w:kern w:val="0"/>
                <w:szCs w:val="21"/>
              </w:rPr>
            </w:pPr>
          </w:p>
        </w:tc>
        <w:tc>
          <w:tcPr>
            <w:tcW w:w="1134" w:type="dxa"/>
            <w:vMerge w:val="continue"/>
            <w:vAlign w:val="center"/>
          </w:tcPr>
          <w:p w14:paraId="46547947">
            <w:pPr>
              <w:jc w:val="center"/>
              <w:rPr>
                <w:rFonts w:ascii="宋体" w:hAnsi="宋体"/>
                <w:color w:val="000000"/>
                <w:kern w:val="0"/>
                <w:szCs w:val="21"/>
              </w:rPr>
            </w:pPr>
          </w:p>
        </w:tc>
        <w:tc>
          <w:tcPr>
            <w:tcW w:w="6946" w:type="dxa"/>
          </w:tcPr>
          <w:p w14:paraId="2C033256">
            <w:pP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2</w:t>
            </w:r>
            <w:r>
              <w:rPr>
                <w:rFonts w:hint="eastAsia" w:ascii="宋体" w:hAnsi="宋体"/>
                <w:color w:val="000000"/>
                <w:kern w:val="0"/>
                <w:szCs w:val="21"/>
              </w:rPr>
              <w:t>）兼容性：系统平台为开放式、标准化平台，以满足本院发展带来的新增需求应用的无缝对接。</w:t>
            </w:r>
          </w:p>
        </w:tc>
      </w:tr>
      <w:tr w14:paraId="01BA1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7" w:type="dxa"/>
            <w:vMerge w:val="continue"/>
            <w:vAlign w:val="center"/>
          </w:tcPr>
          <w:p w14:paraId="0D3F45D1">
            <w:pPr>
              <w:jc w:val="center"/>
              <w:rPr>
                <w:rFonts w:ascii="宋体" w:hAnsi="宋体"/>
                <w:kern w:val="0"/>
                <w:szCs w:val="21"/>
              </w:rPr>
            </w:pPr>
          </w:p>
        </w:tc>
        <w:tc>
          <w:tcPr>
            <w:tcW w:w="1134" w:type="dxa"/>
            <w:vMerge w:val="continue"/>
            <w:vAlign w:val="center"/>
          </w:tcPr>
          <w:p w14:paraId="2EC221DB">
            <w:pPr>
              <w:jc w:val="center"/>
              <w:rPr>
                <w:rFonts w:ascii="宋体" w:hAnsi="宋体"/>
                <w:color w:val="000000"/>
                <w:kern w:val="0"/>
                <w:szCs w:val="21"/>
              </w:rPr>
            </w:pPr>
          </w:p>
        </w:tc>
        <w:tc>
          <w:tcPr>
            <w:tcW w:w="6946" w:type="dxa"/>
          </w:tcPr>
          <w:p w14:paraId="7A7135E6">
            <w:pPr>
              <w:rPr>
                <w:rFonts w:ascii="宋体" w:hAnsi="宋体"/>
                <w:color w:val="000000"/>
                <w:kern w:val="0"/>
                <w:szCs w:val="21"/>
              </w:rPr>
            </w:pPr>
            <w:r>
              <w:rPr>
                <w:rFonts w:hint="eastAsia" w:ascii="宋体" w:hAnsi="宋体"/>
                <w:color w:val="000000"/>
                <w:kern w:val="0"/>
                <w:szCs w:val="21"/>
              </w:rPr>
              <w:t>（3）安全性：系统应对数据库的存储和访问提供有效的安全措施，防止数据链及数据通讯链受到恶意攻击，访问调用有痕且可追溯、可查证。</w:t>
            </w:r>
          </w:p>
        </w:tc>
      </w:tr>
      <w:tr w14:paraId="7A206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E765C63">
            <w:pPr>
              <w:jc w:val="center"/>
              <w:rPr>
                <w:rFonts w:ascii="宋体" w:hAnsi="宋体"/>
                <w:kern w:val="0"/>
                <w:szCs w:val="21"/>
              </w:rPr>
            </w:pPr>
          </w:p>
        </w:tc>
        <w:tc>
          <w:tcPr>
            <w:tcW w:w="1134" w:type="dxa"/>
            <w:vMerge w:val="continue"/>
            <w:vAlign w:val="center"/>
          </w:tcPr>
          <w:p w14:paraId="17B6B63E">
            <w:pPr>
              <w:jc w:val="center"/>
              <w:rPr>
                <w:rFonts w:ascii="宋体" w:hAnsi="宋体"/>
                <w:color w:val="000000"/>
                <w:kern w:val="0"/>
                <w:szCs w:val="21"/>
              </w:rPr>
            </w:pPr>
          </w:p>
        </w:tc>
        <w:tc>
          <w:tcPr>
            <w:tcW w:w="6946" w:type="dxa"/>
          </w:tcPr>
          <w:p w14:paraId="5B25BB21">
            <w:pP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4</w:t>
            </w:r>
            <w:r>
              <w:rPr>
                <w:rFonts w:hint="eastAsia" w:ascii="宋体" w:hAnsi="宋体"/>
                <w:color w:val="000000"/>
                <w:kern w:val="0"/>
                <w:szCs w:val="21"/>
              </w:rPr>
              <w:t>）可扩展性：系统的构建及数据的交互满足共享模式，采用灵活、开放的模块化设计，为系统扩展、升级及可预见的管理模式的改变留有余地，为未来提供便捷的低成本的需求更新模式。</w:t>
            </w:r>
          </w:p>
        </w:tc>
      </w:tr>
      <w:tr w14:paraId="4477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219DE24">
            <w:pPr>
              <w:jc w:val="center"/>
              <w:rPr>
                <w:rFonts w:ascii="宋体" w:hAnsi="宋体"/>
                <w:kern w:val="0"/>
                <w:szCs w:val="21"/>
              </w:rPr>
            </w:pPr>
          </w:p>
        </w:tc>
        <w:tc>
          <w:tcPr>
            <w:tcW w:w="1134" w:type="dxa"/>
            <w:vMerge w:val="continue"/>
            <w:vAlign w:val="center"/>
          </w:tcPr>
          <w:p w14:paraId="3A584BFB">
            <w:pPr>
              <w:jc w:val="center"/>
              <w:rPr>
                <w:rFonts w:ascii="宋体" w:hAnsi="宋体"/>
                <w:color w:val="000000"/>
                <w:kern w:val="0"/>
                <w:szCs w:val="21"/>
              </w:rPr>
            </w:pPr>
          </w:p>
        </w:tc>
        <w:tc>
          <w:tcPr>
            <w:tcW w:w="6946" w:type="dxa"/>
          </w:tcPr>
          <w:p w14:paraId="34717FBF">
            <w:pP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5</w:t>
            </w:r>
            <w:r>
              <w:rPr>
                <w:rFonts w:hint="eastAsia" w:ascii="宋体" w:hAnsi="宋体"/>
                <w:color w:val="000000"/>
                <w:kern w:val="0"/>
                <w:szCs w:val="21"/>
              </w:rPr>
              <w:t>）可靠性：多维度确保系统的正常运转与数据安全可靠，且具备独立的数据备份存储方案。</w:t>
            </w:r>
          </w:p>
        </w:tc>
      </w:tr>
      <w:tr w14:paraId="700A8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17" w:type="dxa"/>
            <w:vMerge w:val="continue"/>
            <w:vAlign w:val="center"/>
          </w:tcPr>
          <w:p w14:paraId="611B11D5">
            <w:pPr>
              <w:jc w:val="center"/>
              <w:rPr>
                <w:rFonts w:ascii="宋体" w:hAnsi="宋体"/>
                <w:kern w:val="0"/>
                <w:szCs w:val="21"/>
              </w:rPr>
            </w:pPr>
          </w:p>
        </w:tc>
        <w:tc>
          <w:tcPr>
            <w:tcW w:w="1134" w:type="dxa"/>
            <w:vMerge w:val="continue"/>
            <w:vAlign w:val="center"/>
          </w:tcPr>
          <w:p w14:paraId="01BF206D">
            <w:pPr>
              <w:jc w:val="center"/>
              <w:rPr>
                <w:rFonts w:ascii="宋体" w:hAnsi="宋体"/>
                <w:color w:val="000000"/>
                <w:kern w:val="0"/>
                <w:szCs w:val="21"/>
              </w:rPr>
            </w:pPr>
          </w:p>
        </w:tc>
        <w:tc>
          <w:tcPr>
            <w:tcW w:w="6946" w:type="dxa"/>
          </w:tcPr>
          <w:p w14:paraId="1A79A710">
            <w:pP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6</w:t>
            </w:r>
            <w:r>
              <w:rPr>
                <w:rFonts w:hint="eastAsia" w:ascii="宋体" w:hAnsi="宋体"/>
                <w:color w:val="000000"/>
                <w:kern w:val="0"/>
                <w:szCs w:val="21"/>
              </w:rPr>
              <w:t>）易用和易维护性：系统应采用简洁、友好的人机界面，在出现系统故障时，能够简便快捷的进行处理。</w:t>
            </w:r>
          </w:p>
        </w:tc>
      </w:tr>
      <w:tr w14:paraId="7D11C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494BE3E">
            <w:pPr>
              <w:jc w:val="center"/>
              <w:rPr>
                <w:rFonts w:ascii="宋体" w:hAnsi="宋体"/>
                <w:kern w:val="0"/>
                <w:szCs w:val="21"/>
              </w:rPr>
            </w:pPr>
          </w:p>
        </w:tc>
        <w:tc>
          <w:tcPr>
            <w:tcW w:w="1134" w:type="dxa"/>
            <w:vMerge w:val="continue"/>
            <w:vAlign w:val="center"/>
          </w:tcPr>
          <w:p w14:paraId="674BD77E">
            <w:pPr>
              <w:jc w:val="center"/>
              <w:rPr>
                <w:rFonts w:ascii="宋体" w:hAnsi="宋体"/>
                <w:color w:val="000000"/>
                <w:kern w:val="0"/>
                <w:szCs w:val="21"/>
              </w:rPr>
            </w:pPr>
          </w:p>
        </w:tc>
        <w:tc>
          <w:tcPr>
            <w:tcW w:w="6946" w:type="dxa"/>
          </w:tcPr>
          <w:p w14:paraId="0FF2F2DC">
            <w:pP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7</w:t>
            </w:r>
            <w:r>
              <w:rPr>
                <w:rFonts w:hint="eastAsia" w:ascii="宋体" w:hAnsi="宋体"/>
                <w:color w:val="000000"/>
                <w:kern w:val="0"/>
                <w:szCs w:val="21"/>
              </w:rPr>
              <w:t>）共享性：系统须在保障各业务体系间的数据流转流畅且在安全性保障的前提下满足共享性要求，以便建立良好的协同体验和统一的管理。</w:t>
            </w:r>
          </w:p>
        </w:tc>
      </w:tr>
      <w:tr w14:paraId="19AF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17" w:type="dxa"/>
            <w:vMerge w:val="restart"/>
            <w:vAlign w:val="center"/>
          </w:tcPr>
          <w:p w14:paraId="1DB9E1C6">
            <w:pPr>
              <w:jc w:val="center"/>
              <w:rPr>
                <w:rFonts w:ascii="宋体" w:hAnsi="宋体"/>
                <w:kern w:val="0"/>
                <w:szCs w:val="21"/>
              </w:rPr>
            </w:pPr>
            <w:r>
              <w:rPr>
                <w:rFonts w:hint="eastAsia" w:ascii="宋体" w:hAnsi="宋体"/>
                <w:kern w:val="0"/>
                <w:szCs w:val="21"/>
              </w:rPr>
              <w:t>2</w:t>
            </w:r>
          </w:p>
        </w:tc>
        <w:tc>
          <w:tcPr>
            <w:tcW w:w="1134" w:type="dxa"/>
            <w:vMerge w:val="restart"/>
            <w:vAlign w:val="center"/>
          </w:tcPr>
          <w:p w14:paraId="4D671926">
            <w:pPr>
              <w:rPr>
                <w:rFonts w:ascii="宋体" w:hAnsi="宋体"/>
                <w:color w:val="000000"/>
                <w:kern w:val="0"/>
                <w:szCs w:val="21"/>
              </w:rPr>
            </w:pPr>
            <w:r>
              <w:rPr>
                <w:rFonts w:hint="eastAsia" w:ascii="宋体" w:hAnsi="宋体"/>
                <w:color w:val="000000"/>
                <w:kern w:val="0"/>
                <w:szCs w:val="21"/>
              </w:rPr>
              <w:t>系统框架</w:t>
            </w:r>
          </w:p>
        </w:tc>
        <w:tc>
          <w:tcPr>
            <w:tcW w:w="6946" w:type="dxa"/>
          </w:tcPr>
          <w:p w14:paraId="73E8464D">
            <w:pP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1</w:t>
            </w:r>
            <w:r>
              <w:rPr>
                <w:rFonts w:hint="eastAsia" w:ascii="宋体" w:hAnsi="宋体"/>
                <w:color w:val="000000"/>
                <w:kern w:val="0"/>
                <w:szCs w:val="21"/>
              </w:rPr>
              <w:t>）运行模式：不低于B/S的三层架构模式设计；</w:t>
            </w:r>
          </w:p>
        </w:tc>
      </w:tr>
      <w:tr w14:paraId="1D96F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17" w:type="dxa"/>
            <w:vMerge w:val="continue"/>
            <w:vAlign w:val="center"/>
          </w:tcPr>
          <w:p w14:paraId="517F90A0">
            <w:pPr>
              <w:jc w:val="center"/>
              <w:rPr>
                <w:rFonts w:ascii="宋体" w:hAnsi="宋体"/>
                <w:kern w:val="0"/>
                <w:szCs w:val="21"/>
              </w:rPr>
            </w:pPr>
          </w:p>
        </w:tc>
        <w:tc>
          <w:tcPr>
            <w:tcW w:w="1134" w:type="dxa"/>
            <w:vMerge w:val="continue"/>
            <w:vAlign w:val="center"/>
          </w:tcPr>
          <w:p w14:paraId="5A862F28">
            <w:pPr>
              <w:rPr>
                <w:rFonts w:ascii="宋体" w:hAnsi="宋体"/>
                <w:color w:val="000000"/>
                <w:kern w:val="0"/>
                <w:szCs w:val="21"/>
              </w:rPr>
            </w:pPr>
          </w:p>
        </w:tc>
        <w:tc>
          <w:tcPr>
            <w:tcW w:w="6946" w:type="dxa"/>
          </w:tcPr>
          <w:p w14:paraId="32F0C385">
            <w:pP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2</w:t>
            </w:r>
            <w:r>
              <w:rPr>
                <w:rFonts w:hint="eastAsia" w:ascii="宋体" w:hAnsi="宋体"/>
                <w:color w:val="000000"/>
                <w:kern w:val="0"/>
                <w:szCs w:val="21"/>
              </w:rPr>
              <w:t>）扩展接口：需于基于Web Service、JSON等标准规范，采用XML的数据传输格式；低耦合应用组件进行分布式部署、组合和使用，具备未来可扩展增减业务模块的架构；</w:t>
            </w:r>
          </w:p>
        </w:tc>
      </w:tr>
      <w:tr w14:paraId="00E25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17" w:type="dxa"/>
            <w:vMerge w:val="continue"/>
            <w:vAlign w:val="center"/>
          </w:tcPr>
          <w:p w14:paraId="3AA11CD6">
            <w:pPr>
              <w:jc w:val="center"/>
              <w:rPr>
                <w:rFonts w:ascii="宋体" w:hAnsi="宋体"/>
                <w:kern w:val="0"/>
                <w:szCs w:val="21"/>
              </w:rPr>
            </w:pPr>
          </w:p>
        </w:tc>
        <w:tc>
          <w:tcPr>
            <w:tcW w:w="1134" w:type="dxa"/>
            <w:vMerge w:val="continue"/>
            <w:vAlign w:val="center"/>
          </w:tcPr>
          <w:p w14:paraId="553D5A80">
            <w:pPr>
              <w:rPr>
                <w:rFonts w:ascii="宋体" w:hAnsi="宋体"/>
                <w:color w:val="000000"/>
                <w:kern w:val="0"/>
                <w:szCs w:val="21"/>
              </w:rPr>
            </w:pPr>
          </w:p>
        </w:tc>
        <w:tc>
          <w:tcPr>
            <w:tcW w:w="6946" w:type="dxa"/>
          </w:tcPr>
          <w:p w14:paraId="090C7980">
            <w:pP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3</w:t>
            </w:r>
            <w:r>
              <w:rPr>
                <w:rFonts w:hint="eastAsia" w:ascii="宋体" w:hAnsi="宋体"/>
                <w:color w:val="000000"/>
                <w:kern w:val="0"/>
                <w:szCs w:val="21"/>
              </w:rPr>
              <w:t>）安全架构：使用HTTPS的安全架构；</w:t>
            </w:r>
          </w:p>
        </w:tc>
      </w:tr>
      <w:tr w14:paraId="53494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17" w:type="dxa"/>
            <w:vMerge w:val="continue"/>
            <w:vAlign w:val="center"/>
          </w:tcPr>
          <w:p w14:paraId="0365D18D">
            <w:pPr>
              <w:jc w:val="center"/>
              <w:rPr>
                <w:rFonts w:ascii="宋体" w:hAnsi="宋体"/>
                <w:kern w:val="0"/>
                <w:szCs w:val="21"/>
              </w:rPr>
            </w:pPr>
          </w:p>
        </w:tc>
        <w:tc>
          <w:tcPr>
            <w:tcW w:w="1134" w:type="dxa"/>
            <w:vMerge w:val="continue"/>
            <w:vAlign w:val="center"/>
          </w:tcPr>
          <w:p w14:paraId="10A6F22D">
            <w:pPr>
              <w:rPr>
                <w:rFonts w:ascii="宋体" w:hAnsi="宋体"/>
                <w:color w:val="000000"/>
                <w:kern w:val="0"/>
                <w:szCs w:val="21"/>
              </w:rPr>
            </w:pPr>
          </w:p>
        </w:tc>
        <w:tc>
          <w:tcPr>
            <w:tcW w:w="6946" w:type="dxa"/>
          </w:tcPr>
          <w:p w14:paraId="037014C4">
            <w:pP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4</w:t>
            </w:r>
            <w:r>
              <w:rPr>
                <w:rFonts w:hint="eastAsia" w:ascii="宋体" w:hAnsi="宋体"/>
                <w:color w:val="000000"/>
                <w:kern w:val="0"/>
                <w:szCs w:val="21"/>
              </w:rPr>
              <w:t>）操作系统：使用主流的LINUX操作系统或W</w:t>
            </w:r>
            <w:r>
              <w:rPr>
                <w:rFonts w:ascii="宋体" w:hAnsi="宋体"/>
                <w:color w:val="000000"/>
                <w:kern w:val="0"/>
                <w:szCs w:val="21"/>
              </w:rPr>
              <w:t>INDOWS</w:t>
            </w:r>
            <w:r>
              <w:rPr>
                <w:rFonts w:hint="eastAsia" w:ascii="宋体" w:hAnsi="宋体"/>
                <w:color w:val="000000"/>
                <w:kern w:val="0"/>
                <w:szCs w:val="21"/>
              </w:rPr>
              <w:t xml:space="preserve">系统； </w:t>
            </w:r>
          </w:p>
        </w:tc>
      </w:tr>
      <w:tr w14:paraId="44BE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17" w:type="dxa"/>
            <w:vMerge w:val="continue"/>
            <w:vAlign w:val="center"/>
          </w:tcPr>
          <w:p w14:paraId="78ED1D25">
            <w:pPr>
              <w:jc w:val="center"/>
              <w:rPr>
                <w:rFonts w:ascii="宋体" w:hAnsi="宋体"/>
                <w:kern w:val="0"/>
                <w:szCs w:val="21"/>
              </w:rPr>
            </w:pPr>
          </w:p>
        </w:tc>
        <w:tc>
          <w:tcPr>
            <w:tcW w:w="1134" w:type="dxa"/>
            <w:vMerge w:val="continue"/>
            <w:vAlign w:val="center"/>
          </w:tcPr>
          <w:p w14:paraId="23733FF2">
            <w:pPr>
              <w:rPr>
                <w:rFonts w:ascii="宋体" w:hAnsi="宋体"/>
                <w:color w:val="000000"/>
                <w:kern w:val="0"/>
                <w:szCs w:val="21"/>
              </w:rPr>
            </w:pPr>
          </w:p>
        </w:tc>
        <w:tc>
          <w:tcPr>
            <w:tcW w:w="6946" w:type="dxa"/>
          </w:tcPr>
          <w:p w14:paraId="2977DE05">
            <w:pP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5</w:t>
            </w:r>
            <w:r>
              <w:rPr>
                <w:rFonts w:hint="eastAsia" w:ascii="宋体" w:hAnsi="宋体"/>
                <w:color w:val="000000"/>
                <w:kern w:val="0"/>
                <w:szCs w:val="21"/>
              </w:rPr>
              <w:t>）权限控制：可动态支持功能操作权限和数据访问权限灵活配置的权限控制模式；</w:t>
            </w:r>
          </w:p>
        </w:tc>
      </w:tr>
      <w:tr w14:paraId="78545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vMerge w:val="continue"/>
            <w:vAlign w:val="center"/>
          </w:tcPr>
          <w:p w14:paraId="19E5D388">
            <w:pPr>
              <w:jc w:val="center"/>
              <w:rPr>
                <w:rFonts w:ascii="宋体" w:hAnsi="宋体"/>
                <w:kern w:val="0"/>
                <w:szCs w:val="21"/>
              </w:rPr>
            </w:pPr>
          </w:p>
        </w:tc>
        <w:tc>
          <w:tcPr>
            <w:tcW w:w="1134" w:type="dxa"/>
            <w:vMerge w:val="continue"/>
            <w:vAlign w:val="center"/>
          </w:tcPr>
          <w:p w14:paraId="700143D7">
            <w:pPr>
              <w:rPr>
                <w:rFonts w:ascii="宋体" w:hAnsi="宋体"/>
                <w:color w:val="000000"/>
                <w:kern w:val="0"/>
                <w:szCs w:val="21"/>
              </w:rPr>
            </w:pPr>
          </w:p>
        </w:tc>
        <w:tc>
          <w:tcPr>
            <w:tcW w:w="6946" w:type="dxa"/>
          </w:tcPr>
          <w:p w14:paraId="7AC26647">
            <w:pP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6</w:t>
            </w:r>
            <w:r>
              <w:rPr>
                <w:rFonts w:hint="eastAsia" w:ascii="宋体" w:hAnsi="宋体"/>
                <w:color w:val="000000"/>
                <w:kern w:val="0"/>
                <w:szCs w:val="21"/>
              </w:rPr>
              <w:t>）登录模式：支持单点登录与统一安全认证、支持数字证书验证；</w:t>
            </w:r>
          </w:p>
        </w:tc>
      </w:tr>
      <w:tr w14:paraId="377C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17" w:type="dxa"/>
            <w:vMerge w:val="continue"/>
            <w:vAlign w:val="center"/>
          </w:tcPr>
          <w:p w14:paraId="76987175">
            <w:pPr>
              <w:jc w:val="center"/>
              <w:rPr>
                <w:rFonts w:ascii="宋体" w:hAnsi="宋体"/>
                <w:kern w:val="0"/>
                <w:szCs w:val="21"/>
              </w:rPr>
            </w:pPr>
          </w:p>
        </w:tc>
        <w:tc>
          <w:tcPr>
            <w:tcW w:w="1134" w:type="dxa"/>
            <w:vMerge w:val="continue"/>
            <w:vAlign w:val="center"/>
          </w:tcPr>
          <w:p w14:paraId="3B0F488C">
            <w:pPr>
              <w:rPr>
                <w:rFonts w:ascii="宋体" w:hAnsi="宋体"/>
                <w:color w:val="000000"/>
                <w:kern w:val="0"/>
                <w:szCs w:val="21"/>
              </w:rPr>
            </w:pPr>
          </w:p>
        </w:tc>
        <w:tc>
          <w:tcPr>
            <w:tcW w:w="6946" w:type="dxa"/>
          </w:tcPr>
          <w:p w14:paraId="5A449FEB">
            <w:pP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7</w:t>
            </w:r>
            <w:r>
              <w:rPr>
                <w:rFonts w:hint="eastAsia" w:ascii="宋体" w:hAnsi="宋体"/>
                <w:color w:val="000000"/>
                <w:kern w:val="0"/>
                <w:szCs w:val="21"/>
              </w:rPr>
              <w:t>）系统架构：采用主流微服务框架，支持在不更改程序代码的情况下快速横向增加节点来提高系统并发性能。</w:t>
            </w:r>
          </w:p>
        </w:tc>
      </w:tr>
      <w:tr w14:paraId="08E76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26B63781">
            <w:pPr>
              <w:jc w:val="center"/>
              <w:rPr>
                <w:rFonts w:ascii="宋体" w:hAnsi="宋体"/>
                <w:kern w:val="0"/>
                <w:szCs w:val="21"/>
              </w:rPr>
            </w:pPr>
            <w:r>
              <w:rPr>
                <w:rFonts w:hint="eastAsia" w:ascii="宋体" w:hAnsi="宋体"/>
                <w:kern w:val="0"/>
                <w:szCs w:val="21"/>
              </w:rPr>
              <w:t>3</w:t>
            </w:r>
          </w:p>
        </w:tc>
        <w:tc>
          <w:tcPr>
            <w:tcW w:w="1134" w:type="dxa"/>
            <w:vMerge w:val="restart"/>
            <w:vAlign w:val="center"/>
          </w:tcPr>
          <w:p w14:paraId="1698F464">
            <w:pPr>
              <w:rPr>
                <w:rFonts w:ascii="宋体" w:hAnsi="宋体"/>
                <w:color w:val="000000"/>
                <w:kern w:val="0"/>
                <w:szCs w:val="21"/>
              </w:rPr>
            </w:pPr>
            <w:r>
              <w:rPr>
                <w:rFonts w:hint="eastAsia" w:ascii="宋体" w:hAnsi="宋体"/>
                <w:color w:val="000000"/>
                <w:kern w:val="0"/>
                <w:szCs w:val="21"/>
              </w:rPr>
              <w:t>云服务器配置</w:t>
            </w:r>
          </w:p>
        </w:tc>
        <w:tc>
          <w:tcPr>
            <w:tcW w:w="6946" w:type="dxa"/>
          </w:tcPr>
          <w:p w14:paraId="32128694">
            <w:pPr>
              <w:rPr>
                <w:rFonts w:ascii="宋体" w:hAnsi="宋体"/>
                <w:color w:val="000000"/>
                <w:kern w:val="0"/>
                <w:szCs w:val="21"/>
              </w:rPr>
            </w:pPr>
            <w:r>
              <w:rPr>
                <w:rFonts w:hint="eastAsia" w:ascii="宋体" w:hAnsi="宋体"/>
                <w:color w:val="000000"/>
                <w:kern w:val="0"/>
                <w:szCs w:val="21"/>
              </w:rPr>
              <w:t>系统要求部署在的云服务器，云服务器环境配置不低于以下标准：</w:t>
            </w:r>
          </w:p>
          <w:p w14:paraId="4C89854C">
            <w:pPr>
              <w:rPr>
                <w:rFonts w:ascii="宋体" w:hAnsi="宋体"/>
                <w:color w:val="000000"/>
                <w:kern w:val="0"/>
                <w:szCs w:val="21"/>
              </w:rPr>
            </w:pPr>
            <w:r>
              <w:rPr>
                <w:rFonts w:hint="eastAsia" w:ascii="宋体" w:hAnsi="宋体"/>
                <w:color w:val="000000"/>
                <w:kern w:val="0"/>
                <w:szCs w:val="21"/>
              </w:rPr>
              <w:t>（1）采用64位操作系统：</w:t>
            </w:r>
          </w:p>
        </w:tc>
      </w:tr>
      <w:tr w14:paraId="6418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17" w:type="dxa"/>
            <w:vMerge w:val="continue"/>
            <w:vAlign w:val="center"/>
          </w:tcPr>
          <w:p w14:paraId="479AE448">
            <w:pPr>
              <w:jc w:val="center"/>
              <w:rPr>
                <w:rFonts w:ascii="宋体" w:hAnsi="宋体"/>
                <w:kern w:val="0"/>
                <w:szCs w:val="21"/>
              </w:rPr>
            </w:pPr>
          </w:p>
        </w:tc>
        <w:tc>
          <w:tcPr>
            <w:tcW w:w="1134" w:type="dxa"/>
            <w:vMerge w:val="continue"/>
            <w:vAlign w:val="center"/>
          </w:tcPr>
          <w:p w14:paraId="331A1524">
            <w:pPr>
              <w:rPr>
                <w:rFonts w:ascii="宋体" w:hAnsi="宋体"/>
                <w:color w:val="000000"/>
                <w:kern w:val="0"/>
                <w:szCs w:val="21"/>
              </w:rPr>
            </w:pPr>
          </w:p>
        </w:tc>
        <w:tc>
          <w:tcPr>
            <w:tcW w:w="6946" w:type="dxa"/>
          </w:tcPr>
          <w:p w14:paraId="0E7CD877">
            <w:pPr>
              <w:rPr>
                <w:rFonts w:ascii="宋体" w:hAnsi="宋体"/>
                <w:color w:val="000000"/>
                <w:kern w:val="0"/>
                <w:szCs w:val="21"/>
              </w:rPr>
            </w:pPr>
            <w:r>
              <w:rPr>
                <w:rFonts w:hint="eastAsia" w:ascii="宋体" w:hAnsi="宋体"/>
                <w:color w:val="000000"/>
                <w:kern w:val="0"/>
                <w:szCs w:val="21"/>
              </w:rPr>
              <w:t>（2）CPU主频2G，4核，三级缓存24M；</w:t>
            </w:r>
          </w:p>
        </w:tc>
      </w:tr>
      <w:tr w14:paraId="5608C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CD16042">
            <w:pPr>
              <w:jc w:val="center"/>
              <w:rPr>
                <w:rFonts w:ascii="宋体" w:hAnsi="宋体"/>
                <w:kern w:val="0"/>
                <w:szCs w:val="21"/>
              </w:rPr>
            </w:pPr>
          </w:p>
        </w:tc>
        <w:tc>
          <w:tcPr>
            <w:tcW w:w="1134" w:type="dxa"/>
            <w:vMerge w:val="continue"/>
            <w:vAlign w:val="center"/>
          </w:tcPr>
          <w:p w14:paraId="0875D7D4">
            <w:pPr>
              <w:rPr>
                <w:rFonts w:ascii="宋体" w:hAnsi="宋体"/>
                <w:color w:val="000000"/>
                <w:kern w:val="0"/>
                <w:szCs w:val="21"/>
              </w:rPr>
            </w:pPr>
          </w:p>
        </w:tc>
        <w:tc>
          <w:tcPr>
            <w:tcW w:w="6946" w:type="dxa"/>
          </w:tcPr>
          <w:p w14:paraId="6A51F31B">
            <w:pP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3</w:t>
            </w:r>
            <w:r>
              <w:rPr>
                <w:rFonts w:hint="eastAsia" w:ascii="宋体" w:hAnsi="宋体"/>
                <w:color w:val="000000"/>
                <w:kern w:val="0"/>
                <w:szCs w:val="21"/>
              </w:rPr>
              <w:t>）服务器/存储:单机内存16GB;服务器数量不低于3个，支持服务器的横向扩展；支持云存储（不限容量）；</w:t>
            </w:r>
          </w:p>
        </w:tc>
      </w:tr>
      <w:tr w14:paraId="7845F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17" w:type="dxa"/>
            <w:vMerge w:val="continue"/>
            <w:vAlign w:val="center"/>
          </w:tcPr>
          <w:p w14:paraId="6AD5BE30">
            <w:pPr>
              <w:jc w:val="center"/>
              <w:rPr>
                <w:rFonts w:ascii="宋体" w:hAnsi="宋体"/>
                <w:kern w:val="0"/>
                <w:szCs w:val="21"/>
              </w:rPr>
            </w:pPr>
          </w:p>
        </w:tc>
        <w:tc>
          <w:tcPr>
            <w:tcW w:w="1134" w:type="dxa"/>
            <w:vMerge w:val="continue"/>
            <w:vAlign w:val="center"/>
          </w:tcPr>
          <w:p w14:paraId="03419E56">
            <w:pPr>
              <w:rPr>
                <w:rFonts w:ascii="宋体" w:hAnsi="宋体"/>
                <w:color w:val="000000"/>
                <w:kern w:val="0"/>
                <w:szCs w:val="21"/>
              </w:rPr>
            </w:pPr>
          </w:p>
        </w:tc>
        <w:tc>
          <w:tcPr>
            <w:tcW w:w="6946" w:type="dxa"/>
          </w:tcPr>
          <w:p w14:paraId="3518B559">
            <w:pP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4</w:t>
            </w:r>
            <w:r>
              <w:rPr>
                <w:rFonts w:hint="eastAsia" w:ascii="宋体" w:hAnsi="宋体"/>
                <w:color w:val="000000"/>
                <w:kern w:val="0"/>
                <w:szCs w:val="21"/>
              </w:rPr>
              <w:t>）数据库：支持多节点实时同步，支持热容灾备份；</w:t>
            </w:r>
          </w:p>
        </w:tc>
      </w:tr>
      <w:tr w14:paraId="509A2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17" w:type="dxa"/>
            <w:vMerge w:val="continue"/>
            <w:vAlign w:val="center"/>
          </w:tcPr>
          <w:p w14:paraId="57ADB689">
            <w:pPr>
              <w:jc w:val="center"/>
              <w:rPr>
                <w:rFonts w:ascii="宋体" w:hAnsi="宋体"/>
                <w:kern w:val="0"/>
                <w:szCs w:val="21"/>
              </w:rPr>
            </w:pPr>
          </w:p>
        </w:tc>
        <w:tc>
          <w:tcPr>
            <w:tcW w:w="1134" w:type="dxa"/>
            <w:vMerge w:val="continue"/>
            <w:vAlign w:val="center"/>
          </w:tcPr>
          <w:p w14:paraId="15463C07">
            <w:pPr>
              <w:rPr>
                <w:rFonts w:ascii="宋体" w:hAnsi="宋体"/>
                <w:color w:val="000000"/>
                <w:kern w:val="0"/>
                <w:szCs w:val="21"/>
              </w:rPr>
            </w:pPr>
          </w:p>
        </w:tc>
        <w:tc>
          <w:tcPr>
            <w:tcW w:w="6946" w:type="dxa"/>
          </w:tcPr>
          <w:p w14:paraId="3407EA94">
            <w:pP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5</w:t>
            </w:r>
            <w:r>
              <w:rPr>
                <w:rFonts w:hint="eastAsia" w:ascii="宋体" w:hAnsi="宋体"/>
                <w:color w:val="000000"/>
                <w:kern w:val="0"/>
                <w:szCs w:val="21"/>
              </w:rPr>
              <w:t>）要求云服务器供应商必须为大品牌供应商，如腾讯、阿里、华为等；</w:t>
            </w:r>
          </w:p>
        </w:tc>
      </w:tr>
    </w:tbl>
    <w:p w14:paraId="3E876C14">
      <w:pPr>
        <w:pStyle w:val="6"/>
        <w:tabs>
          <w:tab w:val="left" w:pos="420"/>
          <w:tab w:val="left" w:pos="540"/>
        </w:tabs>
        <w:adjustRightInd w:val="0"/>
        <w:snapToGrid w:val="0"/>
        <w:spacing w:line="360" w:lineRule="auto"/>
        <w:rPr>
          <w:rFonts w:hAnsi="宋体"/>
          <w:b/>
          <w:bCs/>
          <w:sz w:val="21"/>
        </w:rPr>
      </w:pPr>
    </w:p>
    <w:p w14:paraId="48568E4D">
      <w:pPr>
        <w:pStyle w:val="6"/>
        <w:numPr>
          <w:ilvl w:val="0"/>
          <w:numId w:val="1"/>
        </w:numPr>
        <w:tabs>
          <w:tab w:val="left" w:pos="540"/>
        </w:tabs>
        <w:adjustRightInd w:val="0"/>
        <w:snapToGrid w:val="0"/>
        <w:spacing w:line="360" w:lineRule="auto"/>
        <w:rPr>
          <w:rFonts w:ascii="宋体" w:hAnsi="宋体"/>
          <w:b/>
          <w:bCs/>
          <w:kern w:val="0"/>
          <w:sz w:val="21"/>
          <w:szCs w:val="30"/>
        </w:rPr>
      </w:pPr>
      <w:bookmarkStart w:id="2" w:name="_Toc165150219"/>
      <w:bookmarkStart w:id="3" w:name="_Toc4191"/>
      <w:r>
        <w:rPr>
          <w:rFonts w:hint="eastAsia" w:hAnsi="宋体"/>
          <w:b/>
          <w:bCs/>
          <w:sz w:val="21"/>
        </w:rPr>
        <w:t>详细商务内容和要求</w:t>
      </w:r>
      <w:bookmarkEnd w:id="2"/>
      <w:bookmarkEnd w:id="3"/>
    </w:p>
    <w:p w14:paraId="6792EF3C">
      <w:pPr>
        <w:numPr>
          <w:ilvl w:val="0"/>
          <w:numId w:val="3"/>
        </w:numPr>
        <w:tabs>
          <w:tab w:val="left" w:pos="540"/>
          <w:tab w:val="clear" w:pos="780"/>
        </w:tabs>
        <w:spacing w:line="348" w:lineRule="auto"/>
        <w:ind w:left="540" w:hanging="540"/>
        <w:rPr>
          <w:rFonts w:ascii="宋体" w:hAnsi="宋体"/>
          <w:b/>
          <w:snapToGrid w:val="0"/>
          <w:kern w:val="0"/>
          <w:sz w:val="24"/>
        </w:rPr>
      </w:pPr>
      <w:r>
        <w:rPr>
          <w:rFonts w:hint="eastAsia" w:ascii="宋体" w:hAnsi="宋体"/>
          <w:b/>
          <w:snapToGrid w:val="0"/>
          <w:kern w:val="0"/>
          <w:sz w:val="24"/>
        </w:rPr>
        <w:t>★报价要求：</w:t>
      </w:r>
    </w:p>
    <w:p w14:paraId="0AF0C8B0">
      <w:pPr>
        <w:numPr>
          <w:ilvl w:val="0"/>
          <w:numId w:val="4"/>
        </w:numPr>
        <w:tabs>
          <w:tab w:val="left" w:pos="540"/>
        </w:tabs>
        <w:spacing w:line="360" w:lineRule="auto"/>
        <w:ind w:left="539" w:hanging="539"/>
        <w:rPr>
          <w:rFonts w:ascii="宋体" w:hAnsi="宋体"/>
          <w:kern w:val="0"/>
          <w:sz w:val="24"/>
        </w:rPr>
      </w:pPr>
      <w:r>
        <w:rPr>
          <w:rFonts w:hint="eastAsia" w:ascii="宋体" w:hAnsi="宋体"/>
          <w:kern w:val="0"/>
          <w:sz w:val="24"/>
        </w:rPr>
        <w:t>报价方式为广东省珠海市目的地交付验收价，均涵盖报价要求之一切费用。</w:t>
      </w:r>
    </w:p>
    <w:p w14:paraId="524FAD07">
      <w:pPr>
        <w:numPr>
          <w:ilvl w:val="0"/>
          <w:numId w:val="4"/>
        </w:numPr>
        <w:tabs>
          <w:tab w:val="left" w:pos="540"/>
        </w:tabs>
        <w:spacing w:line="360" w:lineRule="auto"/>
        <w:ind w:left="539" w:hanging="539"/>
        <w:rPr>
          <w:rFonts w:ascii="宋体" w:hAnsi="宋体"/>
          <w:kern w:val="0"/>
          <w:sz w:val="24"/>
        </w:rPr>
      </w:pPr>
      <w:r>
        <w:rPr>
          <w:rFonts w:hint="eastAsia" w:ascii="宋体" w:hAnsi="宋体"/>
          <w:kern w:val="0"/>
          <w:sz w:val="24"/>
        </w:rPr>
        <w:t>报价要求：报价中必须包含教育管理系统中所有功能应用的3年使用费、功能升级迭代费、云服务器费、数据存贮费、维保费、培训人力资源费、税费等相关的所有费用，以及合同实施过程中的应预见或不可预见费用等。</w:t>
      </w:r>
    </w:p>
    <w:p w14:paraId="55ADBC02">
      <w:pPr>
        <w:numPr>
          <w:ilvl w:val="0"/>
          <w:numId w:val="4"/>
        </w:numPr>
        <w:tabs>
          <w:tab w:val="left" w:pos="540"/>
        </w:tabs>
        <w:spacing w:line="360" w:lineRule="auto"/>
        <w:ind w:left="539" w:hanging="539"/>
        <w:rPr>
          <w:rFonts w:ascii="宋体" w:hAnsi="宋体"/>
          <w:kern w:val="0"/>
          <w:sz w:val="24"/>
        </w:rPr>
      </w:pPr>
      <w:r>
        <w:rPr>
          <w:rFonts w:hint="eastAsia" w:ascii="宋体" w:hAnsi="宋体"/>
          <w:kern w:val="0"/>
          <w:sz w:val="24"/>
        </w:rPr>
        <w:t>本项目只接受不高于预算金额的比选报价，如供应商比选报价高于预算金额的，视为无效响应。</w:t>
      </w:r>
    </w:p>
    <w:p w14:paraId="33488DBE">
      <w:pPr>
        <w:pStyle w:val="18"/>
        <w:numPr>
          <w:ilvl w:val="0"/>
          <w:numId w:val="3"/>
        </w:numPr>
        <w:tabs>
          <w:tab w:val="left" w:pos="540"/>
          <w:tab w:val="clear" w:pos="780"/>
        </w:tabs>
        <w:spacing w:before="0" w:after="0" w:line="360" w:lineRule="auto"/>
        <w:ind w:left="540" w:hanging="540"/>
        <w:jc w:val="both"/>
        <w:rPr>
          <w:rFonts w:ascii="宋体" w:hAnsi="宋体" w:cs="宋体"/>
          <w:bCs w:val="0"/>
          <w:spacing w:val="0"/>
          <w:szCs w:val="24"/>
        </w:rPr>
      </w:pPr>
      <w:r>
        <w:rPr>
          <w:rFonts w:hint="eastAsia" w:ascii="宋体" w:hAnsi="宋体" w:cs="宋体"/>
          <w:b/>
        </w:rPr>
        <w:t>服务期</w:t>
      </w:r>
      <w:r>
        <w:rPr>
          <w:rFonts w:hint="eastAsia" w:ascii="宋体" w:hAnsi="宋体" w:cs="宋体"/>
          <w:b/>
          <w:spacing w:val="0"/>
          <w:szCs w:val="24"/>
        </w:rPr>
        <w:t>：</w:t>
      </w:r>
      <w:r>
        <w:rPr>
          <w:rFonts w:ascii="宋体" w:hAnsi="宋体" w:cs="宋体"/>
          <w:b/>
          <w:spacing w:val="0"/>
          <w:szCs w:val="24"/>
        </w:rPr>
        <w:t>3</w:t>
      </w:r>
      <w:r>
        <w:rPr>
          <w:rFonts w:hint="eastAsia" w:ascii="宋体" w:hAnsi="宋体" w:cs="宋体"/>
          <w:b/>
          <w:spacing w:val="0"/>
          <w:szCs w:val="24"/>
        </w:rPr>
        <w:t>年；</w:t>
      </w:r>
    </w:p>
    <w:p w14:paraId="01726F65">
      <w:pPr>
        <w:pStyle w:val="18"/>
        <w:numPr>
          <w:ilvl w:val="0"/>
          <w:numId w:val="3"/>
        </w:numPr>
        <w:tabs>
          <w:tab w:val="left" w:pos="540"/>
          <w:tab w:val="clear" w:pos="780"/>
        </w:tabs>
        <w:spacing w:line="360" w:lineRule="auto"/>
        <w:ind w:left="540" w:hanging="540"/>
        <w:jc w:val="both"/>
        <w:rPr>
          <w:rFonts w:ascii="宋体" w:hAnsi="宋体" w:cs="宋体"/>
          <w:b/>
          <w:snapToGrid w:val="0"/>
          <w:spacing w:val="0"/>
          <w:szCs w:val="24"/>
        </w:rPr>
      </w:pPr>
      <w:r>
        <w:rPr>
          <w:rFonts w:hint="eastAsia" w:ascii="宋体" w:hAnsi="宋体" w:cs="宋体"/>
          <w:b/>
          <w:snapToGrid w:val="0"/>
          <w:spacing w:val="0"/>
          <w:szCs w:val="24"/>
        </w:rPr>
        <w:t>验收标准</w:t>
      </w:r>
    </w:p>
    <w:p w14:paraId="1E28201A">
      <w:pPr>
        <w:numPr>
          <w:ilvl w:val="0"/>
          <w:numId w:val="5"/>
        </w:numPr>
        <w:tabs>
          <w:tab w:val="left" w:pos="540"/>
        </w:tabs>
        <w:spacing w:line="360" w:lineRule="auto"/>
        <w:rPr>
          <w:rFonts w:ascii="宋体" w:hAnsi="宋体"/>
          <w:kern w:val="0"/>
          <w:sz w:val="24"/>
        </w:rPr>
      </w:pPr>
      <w:r>
        <w:rPr>
          <w:rFonts w:hint="eastAsia" w:ascii="宋体" w:hAnsi="宋体"/>
          <w:kern w:val="0"/>
          <w:sz w:val="24"/>
        </w:rPr>
        <w:t>完成合同中列举的全部功能配置。</w:t>
      </w:r>
    </w:p>
    <w:p w14:paraId="046457F2">
      <w:pPr>
        <w:numPr>
          <w:ilvl w:val="0"/>
          <w:numId w:val="5"/>
        </w:numPr>
        <w:tabs>
          <w:tab w:val="left" w:pos="540"/>
        </w:tabs>
        <w:spacing w:line="360" w:lineRule="auto"/>
        <w:rPr>
          <w:rFonts w:ascii="宋体" w:hAnsi="宋体"/>
          <w:kern w:val="0"/>
          <w:sz w:val="24"/>
        </w:rPr>
      </w:pPr>
      <w:r>
        <w:rPr>
          <w:rFonts w:hint="eastAsia" w:ascii="宋体" w:hAnsi="宋体"/>
          <w:kern w:val="0"/>
          <w:sz w:val="24"/>
        </w:rPr>
        <w:t>完成合同中列举的全部培训。</w:t>
      </w:r>
    </w:p>
    <w:p w14:paraId="188E9D5F">
      <w:pPr>
        <w:pStyle w:val="18"/>
        <w:numPr>
          <w:ilvl w:val="0"/>
          <w:numId w:val="3"/>
        </w:numPr>
        <w:tabs>
          <w:tab w:val="left" w:pos="540"/>
          <w:tab w:val="clear" w:pos="780"/>
        </w:tabs>
        <w:spacing w:line="360" w:lineRule="auto"/>
        <w:ind w:left="540" w:hanging="540"/>
        <w:jc w:val="both"/>
        <w:rPr>
          <w:rFonts w:ascii="宋体" w:hAnsi="宋体" w:cs="宋体"/>
          <w:b/>
          <w:snapToGrid w:val="0"/>
          <w:spacing w:val="0"/>
          <w:szCs w:val="24"/>
        </w:rPr>
      </w:pPr>
      <w:r>
        <w:rPr>
          <w:rFonts w:hint="eastAsia" w:ascii="宋体" w:hAnsi="宋体" w:cs="宋体"/>
          <w:b/>
          <w:snapToGrid w:val="0"/>
          <w:spacing w:val="0"/>
          <w:szCs w:val="24"/>
        </w:rPr>
        <w:t>项目交付</w:t>
      </w:r>
      <w:r>
        <w:rPr>
          <w:rFonts w:hint="eastAsia" w:ascii="宋体" w:hAnsi="宋体" w:cs="宋体"/>
          <w:b/>
          <w:snapToGrid w:val="0"/>
          <w:spacing w:val="0"/>
          <w:szCs w:val="24"/>
          <w:lang w:val="en-GB"/>
        </w:rPr>
        <w:t>：</w:t>
      </w:r>
    </w:p>
    <w:p w14:paraId="3237F50E">
      <w:pPr>
        <w:numPr>
          <w:ilvl w:val="0"/>
          <w:numId w:val="6"/>
        </w:numPr>
        <w:tabs>
          <w:tab w:val="left" w:pos="540"/>
        </w:tabs>
        <w:spacing w:line="360" w:lineRule="auto"/>
        <w:rPr>
          <w:rFonts w:ascii="宋体" w:hAnsi="宋体"/>
          <w:kern w:val="0"/>
          <w:sz w:val="24"/>
        </w:rPr>
      </w:pPr>
      <w:r>
        <w:rPr>
          <w:rFonts w:hint="eastAsia" w:ascii="宋体" w:hAnsi="宋体"/>
          <w:kern w:val="0"/>
          <w:sz w:val="24"/>
        </w:rPr>
        <w:t>交付时间：签订合同后</w:t>
      </w:r>
      <w:r>
        <w:rPr>
          <w:rFonts w:ascii="宋体" w:hAnsi="宋体"/>
          <w:kern w:val="0"/>
          <w:sz w:val="24"/>
        </w:rPr>
        <w:t>30</w:t>
      </w:r>
      <w:r>
        <w:rPr>
          <w:rFonts w:hint="eastAsia" w:ascii="宋体" w:hAnsi="宋体"/>
          <w:kern w:val="0"/>
          <w:sz w:val="24"/>
        </w:rPr>
        <w:t>日内；</w:t>
      </w:r>
    </w:p>
    <w:p w14:paraId="27C0EA60">
      <w:pPr>
        <w:numPr>
          <w:ilvl w:val="0"/>
          <w:numId w:val="6"/>
        </w:numPr>
        <w:tabs>
          <w:tab w:val="left" w:pos="540"/>
        </w:tabs>
        <w:spacing w:line="360" w:lineRule="auto"/>
        <w:ind w:left="539" w:hanging="539"/>
        <w:rPr>
          <w:rFonts w:ascii="宋体" w:hAnsi="宋体"/>
          <w:kern w:val="0"/>
          <w:sz w:val="24"/>
        </w:rPr>
      </w:pPr>
      <w:r>
        <w:rPr>
          <w:rFonts w:hint="eastAsia" w:ascii="宋体" w:hAnsi="宋体"/>
          <w:kern w:val="0"/>
          <w:sz w:val="24"/>
        </w:rPr>
        <w:t>交付地点：采购方指定场所；</w:t>
      </w:r>
    </w:p>
    <w:p w14:paraId="2EEC1D43">
      <w:pPr>
        <w:numPr>
          <w:ilvl w:val="0"/>
          <w:numId w:val="3"/>
        </w:numPr>
        <w:tabs>
          <w:tab w:val="left" w:pos="540"/>
          <w:tab w:val="clear" w:pos="780"/>
        </w:tabs>
        <w:spacing w:line="348" w:lineRule="auto"/>
        <w:ind w:left="540" w:hanging="540"/>
        <w:rPr>
          <w:rFonts w:ascii="宋体" w:hAnsi="宋体"/>
          <w:b/>
          <w:snapToGrid w:val="0"/>
          <w:kern w:val="0"/>
          <w:sz w:val="24"/>
        </w:rPr>
      </w:pPr>
      <w:r>
        <w:rPr>
          <w:rFonts w:hint="eastAsia" w:ascii="宋体" w:hAnsi="宋体"/>
          <w:b/>
          <w:snapToGrid w:val="0"/>
          <w:kern w:val="0"/>
          <w:sz w:val="24"/>
        </w:rPr>
        <w:t>系统培训</w:t>
      </w:r>
    </w:p>
    <w:p w14:paraId="332B4DE6">
      <w:pPr>
        <w:numPr>
          <w:ilvl w:val="0"/>
          <w:numId w:val="7"/>
        </w:numPr>
        <w:tabs>
          <w:tab w:val="left" w:pos="540"/>
        </w:tabs>
        <w:spacing w:line="360" w:lineRule="auto"/>
        <w:rPr>
          <w:rFonts w:ascii="宋体" w:hAnsi="宋体"/>
          <w:snapToGrid w:val="0"/>
          <w:kern w:val="0"/>
          <w:sz w:val="24"/>
        </w:rPr>
      </w:pPr>
      <w:r>
        <w:rPr>
          <w:rFonts w:hint="eastAsia" w:ascii="宋体" w:hAnsi="宋体"/>
          <w:snapToGrid w:val="0"/>
          <w:kern w:val="0"/>
          <w:sz w:val="24"/>
        </w:rPr>
        <w:t>供应商需提供切实可行的以实际应用为导向的项目培训实施方案：</w:t>
      </w:r>
    </w:p>
    <w:p w14:paraId="1F583561">
      <w:pPr>
        <w:numPr>
          <w:ilvl w:val="0"/>
          <w:numId w:val="7"/>
        </w:numPr>
        <w:tabs>
          <w:tab w:val="left" w:pos="540"/>
        </w:tabs>
        <w:spacing w:line="360" w:lineRule="auto"/>
        <w:ind w:left="539" w:hanging="539"/>
        <w:rPr>
          <w:rFonts w:ascii="宋体" w:hAnsi="宋体"/>
          <w:snapToGrid w:val="0"/>
          <w:kern w:val="0"/>
          <w:sz w:val="24"/>
        </w:rPr>
      </w:pPr>
      <w:r>
        <w:rPr>
          <w:rFonts w:hint="eastAsia" w:ascii="宋体" w:hAnsi="宋体"/>
          <w:snapToGrid w:val="0"/>
          <w:kern w:val="0"/>
          <w:sz w:val="24"/>
        </w:rPr>
        <w:t>对于所有培训，供应商必须派出具有相应实际工作和教学经验的培训讲师或相应的辅导人员进行培训，且相应的培训实施团队必须具备1人以上医学专业人员（提供医学专业证书和近3个月社保证明）；</w:t>
      </w:r>
    </w:p>
    <w:p w14:paraId="16048AA4">
      <w:pPr>
        <w:numPr>
          <w:ilvl w:val="0"/>
          <w:numId w:val="7"/>
        </w:numPr>
        <w:tabs>
          <w:tab w:val="left" w:pos="540"/>
        </w:tabs>
        <w:spacing w:line="360" w:lineRule="auto"/>
        <w:ind w:left="539" w:hanging="539"/>
        <w:rPr>
          <w:rFonts w:ascii="宋体" w:hAnsi="宋体"/>
          <w:snapToGrid w:val="0"/>
          <w:kern w:val="0"/>
          <w:sz w:val="24"/>
        </w:rPr>
      </w:pPr>
      <w:r>
        <w:rPr>
          <w:rFonts w:hint="eastAsia" w:ascii="宋体" w:hAnsi="宋体"/>
          <w:snapToGrid w:val="0"/>
          <w:kern w:val="0"/>
          <w:sz w:val="24"/>
        </w:rPr>
        <w:t>供应商培训所使用的语言和教材必须是中文；</w:t>
      </w:r>
    </w:p>
    <w:p w14:paraId="474780D8">
      <w:pPr>
        <w:numPr>
          <w:ilvl w:val="0"/>
          <w:numId w:val="7"/>
        </w:numPr>
        <w:tabs>
          <w:tab w:val="left" w:pos="540"/>
        </w:tabs>
        <w:spacing w:line="360" w:lineRule="auto"/>
        <w:ind w:left="539" w:hanging="539"/>
        <w:rPr>
          <w:rFonts w:ascii="宋体" w:hAnsi="宋体"/>
          <w:snapToGrid w:val="0"/>
          <w:kern w:val="0"/>
          <w:sz w:val="24"/>
        </w:rPr>
      </w:pPr>
      <w:r>
        <w:rPr>
          <w:rFonts w:hint="eastAsia" w:ascii="宋体" w:hAnsi="宋体"/>
          <w:snapToGrid w:val="0"/>
          <w:kern w:val="0"/>
          <w:sz w:val="24"/>
        </w:rPr>
        <w:t>培训量化要求：教师集体培训不低于1次；学员集体培训不低于1次；入科培训不低于1次/教学科室；</w:t>
      </w:r>
    </w:p>
    <w:p w14:paraId="1D26B6B3">
      <w:pPr>
        <w:numPr>
          <w:ilvl w:val="0"/>
          <w:numId w:val="3"/>
        </w:numPr>
        <w:tabs>
          <w:tab w:val="left" w:pos="540"/>
          <w:tab w:val="clear" w:pos="780"/>
        </w:tabs>
        <w:spacing w:line="348" w:lineRule="auto"/>
        <w:ind w:left="540" w:hanging="540"/>
        <w:rPr>
          <w:rFonts w:ascii="宋体" w:hAnsi="宋体"/>
          <w:b/>
          <w:snapToGrid w:val="0"/>
          <w:kern w:val="0"/>
          <w:sz w:val="24"/>
        </w:rPr>
      </w:pPr>
      <w:r>
        <w:rPr>
          <w:rFonts w:hint="eastAsia" w:ascii="宋体" w:hAnsi="宋体"/>
          <w:b/>
          <w:snapToGrid w:val="0"/>
          <w:kern w:val="0"/>
          <w:sz w:val="24"/>
        </w:rPr>
        <w:t>维保服务</w:t>
      </w:r>
    </w:p>
    <w:p w14:paraId="713BB31D">
      <w:pPr>
        <w:numPr>
          <w:ilvl w:val="0"/>
          <w:numId w:val="8"/>
        </w:numPr>
        <w:tabs>
          <w:tab w:val="left" w:pos="540"/>
        </w:tabs>
        <w:spacing w:line="360" w:lineRule="auto"/>
        <w:rPr>
          <w:rFonts w:ascii="宋体" w:hAnsi="宋体"/>
          <w:snapToGrid w:val="0"/>
          <w:kern w:val="0"/>
          <w:sz w:val="24"/>
        </w:rPr>
      </w:pPr>
      <w:r>
        <w:rPr>
          <w:rFonts w:hint="eastAsia" w:ascii="宋体" w:hAnsi="宋体"/>
          <w:snapToGrid w:val="0"/>
          <w:kern w:val="0"/>
          <w:sz w:val="24"/>
        </w:rPr>
        <w:t>服务器运行状态日常巡检和监测：每周不低于2次，每周对web服务器、数据库服务器、数据缓存服务器的运行状态例行检测，巡检内容包括：系统负载、CPU和内存使用率、硬盘可用空间、数据备份是否完整、用户登录日志等等；对服务器的实时运行状态不定时监测。</w:t>
      </w:r>
    </w:p>
    <w:p w14:paraId="1A534152">
      <w:pPr>
        <w:numPr>
          <w:ilvl w:val="0"/>
          <w:numId w:val="8"/>
        </w:numPr>
        <w:tabs>
          <w:tab w:val="left" w:pos="540"/>
        </w:tabs>
        <w:spacing w:line="360" w:lineRule="auto"/>
        <w:ind w:left="539" w:hanging="539"/>
        <w:rPr>
          <w:rFonts w:ascii="宋体" w:hAnsi="宋体"/>
          <w:snapToGrid w:val="0"/>
          <w:kern w:val="0"/>
          <w:sz w:val="24"/>
        </w:rPr>
      </w:pPr>
      <w:r>
        <w:rPr>
          <w:rFonts w:hint="eastAsia" w:ascii="宋体" w:hAnsi="宋体"/>
          <w:snapToGrid w:val="0"/>
          <w:kern w:val="0"/>
          <w:sz w:val="24"/>
        </w:rPr>
        <w:t>数据库运行状态和巡检：每周不低于2次，对核心业务数据库巡检，巡检内容包括：数据库磁盘使用率、数据库CPU和内存使用率，慢SQL和死锁，QPS、TPS和IO。对发现的问题跟进处理和功能迭代优化。</w:t>
      </w:r>
    </w:p>
    <w:p w14:paraId="06FD9BEB">
      <w:pPr>
        <w:numPr>
          <w:ilvl w:val="0"/>
          <w:numId w:val="8"/>
        </w:numPr>
        <w:tabs>
          <w:tab w:val="left" w:pos="540"/>
        </w:tabs>
        <w:spacing w:line="360" w:lineRule="auto"/>
        <w:ind w:left="539" w:hanging="539"/>
        <w:rPr>
          <w:rFonts w:ascii="宋体" w:hAnsi="宋体"/>
          <w:snapToGrid w:val="0"/>
          <w:kern w:val="0"/>
          <w:sz w:val="24"/>
        </w:rPr>
      </w:pPr>
      <w:r>
        <w:rPr>
          <w:rFonts w:hint="eastAsia" w:ascii="宋体" w:hAnsi="宋体"/>
          <w:snapToGrid w:val="0"/>
          <w:kern w:val="0"/>
          <w:sz w:val="24"/>
        </w:rPr>
        <w:t>服务器安全维护：每月不低于1次，关注IT行业的安全信息，不定期对操作系统的软件版本进行漏洞修复和升级，对平台本身的公共组件进行漏洞修复和升级。</w:t>
      </w:r>
    </w:p>
    <w:p w14:paraId="4A533188">
      <w:pPr>
        <w:numPr>
          <w:ilvl w:val="0"/>
          <w:numId w:val="8"/>
        </w:numPr>
        <w:tabs>
          <w:tab w:val="left" w:pos="540"/>
        </w:tabs>
        <w:spacing w:line="360" w:lineRule="auto"/>
        <w:ind w:left="539" w:hanging="539"/>
        <w:rPr>
          <w:rFonts w:ascii="宋体" w:hAnsi="宋体"/>
          <w:snapToGrid w:val="0"/>
          <w:kern w:val="0"/>
          <w:sz w:val="24"/>
        </w:rPr>
      </w:pPr>
      <w:r>
        <w:rPr>
          <w:rFonts w:hint="eastAsia" w:ascii="宋体" w:hAnsi="宋体"/>
          <w:snapToGrid w:val="0"/>
          <w:kern w:val="0"/>
          <w:sz w:val="24"/>
        </w:rPr>
        <w:t xml:space="preserve">例行维护：对系统进行远程调试、升级、维护，负责软件和云服务器的运维服务。 </w:t>
      </w:r>
    </w:p>
    <w:p w14:paraId="749FF9DB">
      <w:pPr>
        <w:numPr>
          <w:ilvl w:val="0"/>
          <w:numId w:val="8"/>
        </w:numPr>
        <w:tabs>
          <w:tab w:val="left" w:pos="540"/>
        </w:tabs>
        <w:spacing w:line="360" w:lineRule="auto"/>
        <w:ind w:left="539" w:hanging="539"/>
        <w:rPr>
          <w:rFonts w:ascii="宋体" w:hAnsi="宋体"/>
          <w:snapToGrid w:val="0"/>
          <w:kern w:val="0"/>
          <w:sz w:val="24"/>
        </w:rPr>
      </w:pPr>
      <w:r>
        <w:rPr>
          <w:rFonts w:hint="eastAsia" w:ascii="宋体" w:hAnsi="宋体"/>
          <w:snapToGrid w:val="0"/>
          <w:kern w:val="0"/>
          <w:sz w:val="24"/>
        </w:rPr>
        <w:t>故障解决：排除系统运行中的故障，使系统可以得到平稳应用。免费修改系统运行期间出现的程序错误等。</w:t>
      </w:r>
    </w:p>
    <w:p w14:paraId="38414364">
      <w:pPr>
        <w:numPr>
          <w:ilvl w:val="0"/>
          <w:numId w:val="8"/>
        </w:numPr>
        <w:tabs>
          <w:tab w:val="left" w:pos="540"/>
        </w:tabs>
        <w:spacing w:line="360" w:lineRule="auto"/>
        <w:ind w:left="539" w:hanging="539"/>
        <w:rPr>
          <w:rFonts w:ascii="宋体" w:hAnsi="宋体"/>
          <w:snapToGrid w:val="0"/>
          <w:kern w:val="0"/>
          <w:sz w:val="24"/>
        </w:rPr>
      </w:pPr>
      <w:r>
        <w:rPr>
          <w:rFonts w:hint="eastAsia" w:ascii="宋体" w:hAnsi="宋体"/>
          <w:snapToGrid w:val="0"/>
          <w:kern w:val="0"/>
          <w:sz w:val="24"/>
        </w:rPr>
        <w:t>迭代服务：服务期间免费提供已采购的系统功能的迭代升级服务。</w:t>
      </w:r>
    </w:p>
    <w:p w14:paraId="3AC31E7B">
      <w:pPr>
        <w:numPr>
          <w:ilvl w:val="0"/>
          <w:numId w:val="3"/>
        </w:numPr>
        <w:tabs>
          <w:tab w:val="left" w:pos="540"/>
          <w:tab w:val="clear" w:pos="780"/>
        </w:tabs>
        <w:spacing w:line="360" w:lineRule="auto"/>
        <w:ind w:left="482" w:hanging="482" w:hangingChars="200"/>
        <w:jc w:val="left"/>
        <w:rPr>
          <w:rFonts w:ascii="宋体" w:hAnsi="宋体"/>
          <w:bCs/>
          <w:snapToGrid w:val="0"/>
          <w:kern w:val="0"/>
          <w:sz w:val="24"/>
        </w:rPr>
      </w:pPr>
      <w:r>
        <w:rPr>
          <w:rFonts w:hint="eastAsia" w:ascii="宋体" w:hAnsi="宋体"/>
          <w:b/>
          <w:snapToGrid w:val="0"/>
          <w:kern w:val="0"/>
          <w:sz w:val="24"/>
        </w:rPr>
        <w:t>售后服务：</w:t>
      </w:r>
    </w:p>
    <w:p w14:paraId="6A7535A3">
      <w:pPr>
        <w:numPr>
          <w:ilvl w:val="0"/>
          <w:numId w:val="9"/>
        </w:numPr>
        <w:tabs>
          <w:tab w:val="left" w:pos="540"/>
        </w:tabs>
        <w:spacing w:line="348" w:lineRule="auto"/>
        <w:ind w:left="539" w:hanging="539"/>
        <w:rPr>
          <w:rFonts w:ascii="宋体" w:hAnsi="宋体"/>
          <w:snapToGrid w:val="0"/>
          <w:kern w:val="0"/>
          <w:sz w:val="24"/>
        </w:rPr>
      </w:pPr>
      <w:r>
        <w:rPr>
          <w:rFonts w:hint="eastAsia" w:ascii="宋体" w:hAnsi="宋体"/>
          <w:snapToGrid w:val="0"/>
          <w:kern w:val="0"/>
          <w:sz w:val="24"/>
        </w:rPr>
        <w:t>供应商应设有稳定可靠的售后服务机构或同类合作机构，可提供7天×24小时热线服务和长期的免费技术支持。</w:t>
      </w:r>
    </w:p>
    <w:p w14:paraId="2D97B011">
      <w:pPr>
        <w:numPr>
          <w:ilvl w:val="0"/>
          <w:numId w:val="9"/>
        </w:numPr>
        <w:tabs>
          <w:tab w:val="left" w:pos="540"/>
        </w:tabs>
        <w:spacing w:line="348" w:lineRule="auto"/>
        <w:ind w:left="539" w:hanging="539"/>
        <w:rPr>
          <w:rFonts w:ascii="宋体" w:hAnsi="宋体"/>
          <w:snapToGrid w:val="0"/>
          <w:kern w:val="0"/>
          <w:sz w:val="24"/>
        </w:rPr>
      </w:pPr>
      <w:r>
        <w:rPr>
          <w:rFonts w:ascii="宋体" w:hAnsi="宋体"/>
          <w:sz w:val="24"/>
        </w:rPr>
        <w:t>在</w:t>
      </w:r>
      <w:r>
        <w:rPr>
          <w:rFonts w:hint="eastAsia" w:ascii="宋体" w:hAnsi="宋体"/>
          <w:sz w:val="24"/>
        </w:rPr>
        <w:t>本项目</w:t>
      </w:r>
      <w:r>
        <w:rPr>
          <w:rFonts w:ascii="宋体" w:hAnsi="宋体"/>
          <w:sz w:val="24"/>
        </w:rPr>
        <w:t>的</w:t>
      </w:r>
      <w:r>
        <w:rPr>
          <w:rFonts w:hint="eastAsia" w:ascii="宋体" w:hAnsi="宋体"/>
          <w:sz w:val="24"/>
        </w:rPr>
        <w:t>维护</w:t>
      </w:r>
      <w:r>
        <w:rPr>
          <w:rFonts w:ascii="宋体" w:hAnsi="宋体"/>
          <w:sz w:val="24"/>
        </w:rPr>
        <w:t>服务期内，</w:t>
      </w:r>
      <w:r>
        <w:rPr>
          <w:rFonts w:hint="eastAsia" w:ascii="宋体" w:hAnsi="宋体"/>
          <w:sz w:val="24"/>
        </w:rPr>
        <w:t>供应商</w:t>
      </w:r>
      <w:r>
        <w:rPr>
          <w:rFonts w:ascii="宋体" w:hAnsi="宋体"/>
          <w:sz w:val="24"/>
        </w:rPr>
        <w:t>应确保</w:t>
      </w:r>
      <w:r>
        <w:rPr>
          <w:rFonts w:hint="eastAsia" w:ascii="宋体" w:hAnsi="宋体"/>
          <w:sz w:val="24"/>
        </w:rPr>
        <w:t>项目整体</w:t>
      </w:r>
      <w:r>
        <w:rPr>
          <w:rFonts w:ascii="宋体" w:hAnsi="宋体"/>
          <w:sz w:val="24"/>
        </w:rPr>
        <w:t>的正常使用。</w:t>
      </w:r>
      <w:r>
        <w:rPr>
          <w:rFonts w:hint="eastAsia" w:ascii="宋体" w:hAnsi="宋体"/>
          <w:snapToGrid w:val="0"/>
          <w:kern w:val="0"/>
          <w:sz w:val="24"/>
        </w:rPr>
        <w:t>对采购人的售后服务通知，供应商接报后1小时内响应并制定明确的解决方案，技术人员远程或者电话解决问题。如24小时内未处理完毕，供应商须采取应急措施解决，不得影响采购人的正常工作业务。</w:t>
      </w:r>
    </w:p>
    <w:p w14:paraId="2F4A4DB3">
      <w:pPr>
        <w:numPr>
          <w:ilvl w:val="0"/>
          <w:numId w:val="9"/>
        </w:numPr>
        <w:tabs>
          <w:tab w:val="left" w:pos="540"/>
        </w:tabs>
        <w:spacing w:line="348" w:lineRule="auto"/>
        <w:ind w:left="539" w:hanging="539"/>
        <w:rPr>
          <w:rFonts w:ascii="宋体" w:hAnsi="宋体"/>
          <w:sz w:val="24"/>
        </w:rPr>
      </w:pPr>
      <w:r>
        <w:rPr>
          <w:rFonts w:hint="eastAsia" w:ascii="宋体" w:hAnsi="宋体"/>
          <w:snapToGrid w:val="0"/>
          <w:kern w:val="0"/>
          <w:sz w:val="24"/>
        </w:rPr>
        <w:t>供应商应</w:t>
      </w:r>
      <w:r>
        <w:rPr>
          <w:rFonts w:hint="eastAsia" w:ascii="宋体" w:hAnsi="宋体"/>
          <w:sz w:val="24"/>
        </w:rPr>
        <w:t>提供日常使用技术支持及指导服务，形式不局限于微信技术支持服务群或QQ群；</w:t>
      </w:r>
    </w:p>
    <w:p w14:paraId="5093977B">
      <w:pPr>
        <w:numPr>
          <w:ilvl w:val="0"/>
          <w:numId w:val="9"/>
        </w:numPr>
        <w:tabs>
          <w:tab w:val="left" w:pos="540"/>
        </w:tabs>
        <w:spacing w:line="348" w:lineRule="auto"/>
        <w:ind w:left="539" w:hanging="539"/>
        <w:rPr>
          <w:rFonts w:ascii="宋体" w:hAnsi="宋体"/>
          <w:sz w:val="24"/>
        </w:rPr>
      </w:pPr>
      <w:r>
        <w:rPr>
          <w:rFonts w:hint="eastAsia" w:ascii="宋体" w:hAnsi="宋体"/>
          <w:snapToGrid w:val="0"/>
          <w:kern w:val="0"/>
          <w:sz w:val="24"/>
        </w:rPr>
        <w:t>供应商应</w:t>
      </w:r>
      <w:r>
        <w:rPr>
          <w:rFonts w:hint="eastAsia" w:ascii="宋体" w:hAnsi="宋体"/>
          <w:sz w:val="24"/>
        </w:rPr>
        <w:t>协助业务部门提供日常数据维护支持服务，确保数据的准确性和使用率的逐步提升；</w:t>
      </w:r>
    </w:p>
    <w:p w14:paraId="49272027">
      <w:pPr>
        <w:numPr>
          <w:ilvl w:val="0"/>
          <w:numId w:val="9"/>
        </w:numPr>
        <w:tabs>
          <w:tab w:val="left" w:pos="540"/>
        </w:tabs>
        <w:spacing w:line="348" w:lineRule="auto"/>
        <w:ind w:left="539" w:hanging="539"/>
        <w:rPr>
          <w:rFonts w:ascii="宋体" w:hAnsi="宋体"/>
          <w:sz w:val="24"/>
        </w:rPr>
      </w:pPr>
      <w:r>
        <w:rPr>
          <w:rFonts w:hint="eastAsia" w:ascii="宋体" w:hAnsi="宋体"/>
          <w:sz w:val="24"/>
        </w:rPr>
        <w:t>供应商为执行本采购项目而提供的技术资料、软件的使用权归采购人所有。</w:t>
      </w:r>
    </w:p>
    <w:p w14:paraId="7D09432B">
      <w:pPr>
        <w:numPr>
          <w:ilvl w:val="0"/>
          <w:numId w:val="3"/>
        </w:numPr>
        <w:tabs>
          <w:tab w:val="left" w:pos="540"/>
          <w:tab w:val="clear" w:pos="780"/>
        </w:tabs>
        <w:spacing w:line="360" w:lineRule="auto"/>
        <w:ind w:left="482" w:hanging="482" w:hangingChars="200"/>
        <w:jc w:val="left"/>
        <w:rPr>
          <w:rFonts w:ascii="宋体" w:hAnsi="宋体"/>
          <w:b/>
          <w:snapToGrid w:val="0"/>
          <w:kern w:val="0"/>
          <w:sz w:val="24"/>
        </w:rPr>
      </w:pPr>
      <w:r>
        <w:rPr>
          <w:rFonts w:hint="eastAsia" w:ascii="宋体" w:hAnsi="宋体"/>
          <w:b/>
          <w:snapToGrid w:val="0"/>
          <w:kern w:val="0"/>
          <w:sz w:val="24"/>
        </w:rPr>
        <w:t>保密要求：</w:t>
      </w:r>
    </w:p>
    <w:p w14:paraId="6762C201">
      <w:pPr>
        <w:numPr>
          <w:ilvl w:val="0"/>
          <w:numId w:val="10"/>
        </w:numPr>
        <w:tabs>
          <w:tab w:val="left" w:pos="540"/>
        </w:tabs>
        <w:spacing w:line="360" w:lineRule="auto"/>
        <w:rPr>
          <w:rFonts w:ascii="宋体" w:hAnsi="宋体"/>
          <w:snapToGrid w:val="0"/>
          <w:kern w:val="0"/>
          <w:sz w:val="24"/>
        </w:rPr>
      </w:pPr>
      <w:r>
        <w:rPr>
          <w:rFonts w:hint="eastAsia" w:ascii="宋体" w:hAnsi="宋体"/>
          <w:snapToGrid w:val="0"/>
          <w:kern w:val="0"/>
          <w:sz w:val="24"/>
        </w:rPr>
        <w:t>供应商必须如约承担合同履行时所应该尽的一切保密义务。供应商与采购人双方签署保密协议，供应商需对项目实施过程中的资料、数据进行保密，未经采购人书面同意不得泄露给第三方，否则采购人保留追究供应商法律责任的权利，一切保密责任不因合同的终止或解除而失效。</w:t>
      </w:r>
    </w:p>
    <w:p w14:paraId="52B98418">
      <w:pPr>
        <w:numPr>
          <w:ilvl w:val="0"/>
          <w:numId w:val="3"/>
        </w:numPr>
        <w:tabs>
          <w:tab w:val="left" w:pos="540"/>
          <w:tab w:val="clear" w:pos="780"/>
        </w:tabs>
        <w:spacing w:line="360" w:lineRule="auto"/>
        <w:ind w:left="482" w:hanging="482" w:hangingChars="200"/>
        <w:jc w:val="left"/>
        <w:rPr>
          <w:rFonts w:ascii="宋体" w:hAnsi="宋体"/>
          <w:b/>
          <w:snapToGrid w:val="0"/>
          <w:kern w:val="0"/>
          <w:sz w:val="24"/>
        </w:rPr>
      </w:pPr>
      <w:r>
        <w:rPr>
          <w:rFonts w:hint="eastAsia" w:ascii="宋体" w:hAnsi="宋体"/>
          <w:b/>
          <w:snapToGrid w:val="0"/>
          <w:kern w:val="0"/>
          <w:sz w:val="24"/>
        </w:rPr>
        <w:t>付款方式：</w:t>
      </w:r>
    </w:p>
    <w:p w14:paraId="45C87D45">
      <w:pPr>
        <w:adjustRightInd w:val="0"/>
        <w:snapToGrid w:val="0"/>
        <w:spacing w:line="360" w:lineRule="auto"/>
        <w:ind w:firstLine="480" w:firstLineChars="200"/>
        <w:rPr>
          <w:rFonts w:hint="eastAsia" w:ascii="宋体" w:hAnsi="宋体" w:eastAsia="宋体"/>
          <w:szCs w:val="21"/>
          <w:lang w:eastAsia="zh-CN"/>
        </w:rPr>
      </w:pPr>
      <w:r>
        <w:rPr>
          <w:rFonts w:hint="eastAsia" w:ascii="宋体" w:hAnsi="宋体"/>
          <w:sz w:val="24"/>
          <w:szCs w:val="24"/>
        </w:rPr>
        <w:t>项目按1</w:t>
      </w:r>
      <w:r>
        <w:rPr>
          <w:rFonts w:ascii="宋体" w:hAnsi="宋体"/>
          <w:sz w:val="24"/>
          <w:szCs w:val="24"/>
        </w:rPr>
        <w:t>+1+1</w:t>
      </w:r>
      <w:r>
        <w:rPr>
          <w:rFonts w:hint="eastAsia" w:ascii="宋体" w:hAnsi="宋体"/>
          <w:sz w:val="24"/>
          <w:szCs w:val="24"/>
        </w:rPr>
        <w:t>分年支付模式支付，签订合同后，在系统实施和首轮培训完成并经验收合格后，收到等额发票</w:t>
      </w:r>
      <w:r>
        <w:rPr>
          <w:rFonts w:ascii="宋体" w:hAnsi="宋体"/>
          <w:sz w:val="24"/>
          <w:szCs w:val="24"/>
        </w:rPr>
        <w:t>3</w:t>
      </w:r>
      <w:r>
        <w:rPr>
          <w:rFonts w:hint="eastAsia" w:ascii="宋体" w:hAnsi="宋体"/>
          <w:sz w:val="24"/>
          <w:szCs w:val="24"/>
        </w:rPr>
        <w:t>0天内支付首次费用（即合同金额的</w:t>
      </w:r>
      <w:r>
        <w:rPr>
          <w:rFonts w:ascii="宋体" w:hAnsi="宋体"/>
          <w:sz w:val="24"/>
          <w:szCs w:val="24"/>
        </w:rPr>
        <w:t>33.33</w:t>
      </w:r>
      <w:r>
        <w:rPr>
          <w:rFonts w:hint="eastAsia" w:ascii="宋体" w:hAnsi="宋体"/>
          <w:sz w:val="24"/>
          <w:szCs w:val="24"/>
        </w:rPr>
        <w:t>%）；合同签订12个月后，收到等额发票</w:t>
      </w:r>
      <w:r>
        <w:rPr>
          <w:rFonts w:ascii="宋体" w:hAnsi="宋体"/>
          <w:sz w:val="24"/>
          <w:szCs w:val="24"/>
        </w:rPr>
        <w:t>3</w:t>
      </w:r>
      <w:r>
        <w:rPr>
          <w:rFonts w:hint="eastAsia" w:ascii="宋体" w:hAnsi="宋体"/>
          <w:sz w:val="24"/>
          <w:szCs w:val="24"/>
        </w:rPr>
        <w:t>0天内支付第二笔费用（即合同金额的</w:t>
      </w:r>
      <w:r>
        <w:rPr>
          <w:rFonts w:ascii="宋体" w:hAnsi="宋体"/>
          <w:sz w:val="24"/>
          <w:szCs w:val="24"/>
        </w:rPr>
        <w:t>33.33</w:t>
      </w:r>
      <w:r>
        <w:rPr>
          <w:rFonts w:hint="eastAsia" w:ascii="宋体" w:hAnsi="宋体"/>
          <w:sz w:val="24"/>
          <w:szCs w:val="24"/>
        </w:rPr>
        <w:t>%）；合同签订24个月后，收到等额发票</w:t>
      </w:r>
      <w:r>
        <w:rPr>
          <w:rFonts w:ascii="宋体" w:hAnsi="宋体"/>
          <w:sz w:val="24"/>
          <w:szCs w:val="24"/>
        </w:rPr>
        <w:t>3</w:t>
      </w:r>
      <w:r>
        <w:rPr>
          <w:rFonts w:hint="eastAsia" w:ascii="宋体" w:hAnsi="宋体"/>
          <w:sz w:val="24"/>
          <w:szCs w:val="24"/>
        </w:rPr>
        <w:t>0天内支付第三笔费用（即合同金额的</w:t>
      </w:r>
      <w:r>
        <w:rPr>
          <w:rFonts w:ascii="宋体" w:hAnsi="宋体"/>
          <w:sz w:val="24"/>
          <w:szCs w:val="24"/>
        </w:rPr>
        <w:t>33.33</w:t>
      </w:r>
      <w:r>
        <w:rPr>
          <w:rFonts w:hint="eastAsia" w:ascii="宋体" w:hAnsi="宋体"/>
          <w:sz w:val="24"/>
          <w:szCs w:val="24"/>
        </w:rPr>
        <w:t>%）</w:t>
      </w:r>
      <w:r>
        <w:rPr>
          <w:rFonts w:hint="eastAsia" w:ascii="宋体" w:hAnsi="宋体"/>
          <w:sz w:val="24"/>
          <w:szCs w:val="24"/>
          <w:lang w:eastAsia="zh-CN"/>
        </w:rPr>
        <w:t>。</w:t>
      </w:r>
      <w:bookmarkStart w:id="4" w:name="_GoBack"/>
      <w:bookmarkEnd w:id="4"/>
    </w:p>
    <w:p w14:paraId="79F7FC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lvlText w:val="%1、"/>
      <w:lvlJc w:val="left"/>
      <w:pPr>
        <w:tabs>
          <w:tab w:val="left" w:pos="420"/>
        </w:tabs>
        <w:ind w:left="420" w:hanging="420"/>
      </w:pPr>
      <w:rPr>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0330B3F"/>
    <w:multiLevelType w:val="multilevel"/>
    <w:tmpl w:val="10330B3F"/>
    <w:lvl w:ilvl="0" w:tentative="0">
      <w:start w:val="1"/>
      <w:numFmt w:val="decimal"/>
      <w:lvlText w:val="(%1)"/>
      <w:lvlJc w:val="left"/>
      <w:pPr>
        <w:ind w:left="42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2A9D021B"/>
    <w:multiLevelType w:val="multilevel"/>
    <w:tmpl w:val="2A9D021B"/>
    <w:lvl w:ilvl="0" w:tentative="0">
      <w:start w:val="1"/>
      <w:numFmt w:val="decimal"/>
      <w:lvlText w:val="(%1)"/>
      <w:lvlJc w:val="left"/>
      <w:pPr>
        <w:ind w:left="420" w:hanging="420"/>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2FB02DD9"/>
    <w:multiLevelType w:val="multilevel"/>
    <w:tmpl w:val="2FB02DD9"/>
    <w:lvl w:ilvl="0" w:tentative="0">
      <w:start w:val="1"/>
      <w:numFmt w:val="decimal"/>
      <w:lvlText w:val="（%1）"/>
      <w:lvlJc w:val="left"/>
      <w:pPr>
        <w:ind w:left="624" w:hanging="624"/>
      </w:pPr>
      <w:rPr>
        <w:rFonts w:hint="default"/>
        <w:color w:val="00000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3BAF592D"/>
    <w:multiLevelType w:val="multilevel"/>
    <w:tmpl w:val="3BAF592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D7A76BE"/>
    <w:multiLevelType w:val="multilevel"/>
    <w:tmpl w:val="4D7A76BE"/>
    <w:lvl w:ilvl="0" w:tentative="0">
      <w:start w:val="1"/>
      <w:numFmt w:val="decimal"/>
      <w:lvlText w:val="(%1)"/>
      <w:lvlJc w:val="left"/>
      <w:pPr>
        <w:ind w:left="42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552B0C04"/>
    <w:multiLevelType w:val="multilevel"/>
    <w:tmpl w:val="552B0C04"/>
    <w:lvl w:ilvl="0" w:tentative="0">
      <w:start w:val="1"/>
      <w:numFmt w:val="decimal"/>
      <w:lvlText w:val="(%1)"/>
      <w:lvlJc w:val="left"/>
      <w:pPr>
        <w:ind w:left="42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63ECEA93"/>
    <w:multiLevelType w:val="multilevel"/>
    <w:tmpl w:val="63ECEA93"/>
    <w:lvl w:ilvl="0" w:tentative="0">
      <w:start w:val="1"/>
      <w:numFmt w:val="decimal"/>
      <w:lvlText w:val="(%1)"/>
      <w:lvlJc w:val="left"/>
      <w:pPr>
        <w:ind w:left="420" w:hanging="420"/>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645B3F3A"/>
    <w:multiLevelType w:val="multilevel"/>
    <w:tmpl w:val="645B3F3A"/>
    <w:lvl w:ilvl="0" w:tentative="0">
      <w:start w:val="1"/>
      <w:numFmt w:val="decimal"/>
      <w:lvlText w:val="%1."/>
      <w:lvlJc w:val="left"/>
      <w:pPr>
        <w:tabs>
          <w:tab w:val="left" w:pos="780"/>
        </w:tabs>
        <w:ind w:left="780" w:hanging="360"/>
      </w:pPr>
      <w:rPr>
        <w:rFonts w:hint="default"/>
        <w:b/>
      </w:rPr>
    </w:lvl>
    <w:lvl w:ilvl="1" w:tentative="0">
      <w:start w:val="1"/>
      <w:numFmt w:val="decimal"/>
      <w:lvlText w:val="8.%2."/>
      <w:lvlJc w:val="left"/>
      <w:pPr>
        <w:tabs>
          <w:tab w:val="left" w:pos="930"/>
        </w:tabs>
        <w:ind w:left="930" w:hanging="510"/>
      </w:pPr>
      <w:rPr>
        <w:rFonts w:hint="eastAsia"/>
        <w:b w:val="0"/>
        <w:i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EE46566"/>
    <w:multiLevelType w:val="multilevel"/>
    <w:tmpl w:val="6EE46566"/>
    <w:lvl w:ilvl="0" w:tentative="0">
      <w:start w:val="1"/>
      <w:numFmt w:val="decimal"/>
      <w:lvlText w:val="(%1)"/>
      <w:lvlJc w:val="left"/>
      <w:pPr>
        <w:ind w:left="42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7"/>
  </w:num>
  <w:num w:numId="5">
    <w:abstractNumId w:val="3"/>
  </w:num>
  <w:num w:numId="6">
    <w:abstractNumId w:val="2"/>
  </w:num>
  <w:num w:numId="7">
    <w:abstractNumId w:val="9"/>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3731ED"/>
    <w:rsid w:val="00134578"/>
    <w:rsid w:val="001F797D"/>
    <w:rsid w:val="00206577"/>
    <w:rsid w:val="003B68D2"/>
    <w:rsid w:val="003F4A46"/>
    <w:rsid w:val="00405626"/>
    <w:rsid w:val="004F506F"/>
    <w:rsid w:val="00593A75"/>
    <w:rsid w:val="0078015D"/>
    <w:rsid w:val="008103F9"/>
    <w:rsid w:val="00832C9B"/>
    <w:rsid w:val="00934EF2"/>
    <w:rsid w:val="00940E91"/>
    <w:rsid w:val="00A177FE"/>
    <w:rsid w:val="00AC1F85"/>
    <w:rsid w:val="00B10650"/>
    <w:rsid w:val="00C354C6"/>
    <w:rsid w:val="00C42DAC"/>
    <w:rsid w:val="00C9134D"/>
    <w:rsid w:val="00D17EAB"/>
    <w:rsid w:val="00DC4361"/>
    <w:rsid w:val="00DD6573"/>
    <w:rsid w:val="00E17EE2"/>
    <w:rsid w:val="00EF7C44"/>
    <w:rsid w:val="0BB80E6C"/>
    <w:rsid w:val="145E3D61"/>
    <w:rsid w:val="31CA3C2D"/>
    <w:rsid w:val="3CDC3121"/>
    <w:rsid w:val="543731ED"/>
    <w:rsid w:val="546D7964"/>
    <w:rsid w:val="555D75C8"/>
    <w:rsid w:val="6EC923CE"/>
    <w:rsid w:val="711378D2"/>
    <w:rsid w:val="7B7B33DC"/>
    <w:rsid w:val="7F891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style>
  <w:style w:type="paragraph" w:styleId="3">
    <w:name w:val="Body Text Indent"/>
    <w:basedOn w:val="1"/>
    <w:qFormat/>
    <w:uiPriority w:val="0"/>
    <w:pPr>
      <w:spacing w:after="120"/>
      <w:ind w:left="200" w:leftChars="200"/>
    </w:p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annotation text"/>
    <w:basedOn w:val="1"/>
    <w:link w:val="14"/>
    <w:qFormat/>
    <w:uiPriority w:val="0"/>
    <w:pPr>
      <w:jc w:val="left"/>
    </w:pPr>
  </w:style>
  <w:style w:type="paragraph" w:styleId="6">
    <w:name w:val="Plain Text"/>
    <w:basedOn w:val="1"/>
    <w:qFormat/>
    <w:uiPriority w:val="0"/>
    <w:rPr>
      <w:rFonts w:ascii="宋体" w:hAnsi="Courier New" w:cs="Times New Roman"/>
      <w:kern w:val="0"/>
      <w:sz w:val="20"/>
      <w:szCs w:val="21"/>
    </w:rPr>
  </w:style>
  <w:style w:type="paragraph" w:styleId="7">
    <w:name w:val="Balloon Text"/>
    <w:basedOn w:val="1"/>
    <w:link w:val="16"/>
    <w:qFormat/>
    <w:uiPriority w:val="0"/>
    <w:rPr>
      <w:sz w:val="18"/>
      <w:szCs w:val="18"/>
    </w:rPr>
  </w:style>
  <w:style w:type="paragraph" w:styleId="8">
    <w:name w:val="Title"/>
    <w:basedOn w:val="1"/>
    <w:next w:val="1"/>
    <w:qFormat/>
    <w:uiPriority w:val="99"/>
    <w:pPr>
      <w:spacing w:before="240" w:after="60"/>
      <w:jc w:val="center"/>
      <w:outlineLvl w:val="0"/>
    </w:pPr>
    <w:rPr>
      <w:rFonts w:ascii="Cambria" w:hAnsi="Cambria"/>
      <w:b/>
      <w:bCs/>
      <w:sz w:val="32"/>
      <w:szCs w:val="32"/>
    </w:rPr>
  </w:style>
  <w:style w:type="paragraph" w:styleId="9">
    <w:name w:val="annotation subject"/>
    <w:basedOn w:val="5"/>
    <w:next w:val="5"/>
    <w:link w:val="15"/>
    <w:qFormat/>
    <w:uiPriority w:val="0"/>
    <w:rPr>
      <w:b/>
      <w:bCs/>
    </w:rPr>
  </w:style>
  <w:style w:type="character" w:styleId="12">
    <w:name w:val="annotation reference"/>
    <w:basedOn w:val="11"/>
    <w:qFormat/>
    <w:uiPriority w:val="0"/>
    <w:rPr>
      <w:sz w:val="21"/>
      <w:szCs w:val="21"/>
    </w:rPr>
  </w:style>
  <w:style w:type="paragraph" w:styleId="13">
    <w:name w:val="List Paragraph"/>
    <w:basedOn w:val="1"/>
    <w:qFormat/>
    <w:uiPriority w:val="34"/>
    <w:pPr>
      <w:ind w:firstLine="420" w:firstLineChars="200"/>
    </w:pPr>
    <w:rPr>
      <w:rFonts w:ascii="Times New Roman" w:hAnsi="Times New Roman" w:cs="Times New Roman"/>
      <w:szCs w:val="24"/>
    </w:rPr>
  </w:style>
  <w:style w:type="character" w:customStyle="1" w:styleId="14">
    <w:name w:val="批注文字 字符"/>
    <w:basedOn w:val="11"/>
    <w:link w:val="5"/>
    <w:qFormat/>
    <w:uiPriority w:val="0"/>
    <w:rPr>
      <w:rFonts w:cs="宋体"/>
      <w:kern w:val="2"/>
      <w:sz w:val="21"/>
      <w:szCs w:val="22"/>
    </w:rPr>
  </w:style>
  <w:style w:type="character" w:customStyle="1" w:styleId="15">
    <w:name w:val="批注主题 字符"/>
    <w:basedOn w:val="14"/>
    <w:link w:val="9"/>
    <w:qFormat/>
    <w:uiPriority w:val="0"/>
    <w:rPr>
      <w:rFonts w:cs="宋体"/>
      <w:b/>
      <w:bCs/>
      <w:kern w:val="2"/>
      <w:sz w:val="21"/>
      <w:szCs w:val="22"/>
    </w:rPr>
  </w:style>
  <w:style w:type="character" w:customStyle="1" w:styleId="16">
    <w:name w:val="批注框文本 字符"/>
    <w:basedOn w:val="11"/>
    <w:link w:val="7"/>
    <w:qFormat/>
    <w:uiPriority w:val="0"/>
    <w:rPr>
      <w:rFonts w:cs="宋体"/>
      <w:kern w:val="2"/>
      <w:sz w:val="18"/>
      <w:szCs w:val="18"/>
    </w:rPr>
  </w:style>
  <w:style w:type="character" w:customStyle="1" w:styleId="17">
    <w:name w:val="表格文字 Char"/>
    <w:link w:val="18"/>
    <w:locked/>
    <w:uiPriority w:val="0"/>
    <w:rPr>
      <w:bCs/>
      <w:spacing w:val="10"/>
      <w:sz w:val="24"/>
    </w:rPr>
  </w:style>
  <w:style w:type="paragraph" w:customStyle="1" w:styleId="18">
    <w:name w:val="表格文字"/>
    <w:basedOn w:val="1"/>
    <w:link w:val="17"/>
    <w:uiPriority w:val="0"/>
    <w:pPr>
      <w:spacing w:before="25" w:after="25"/>
      <w:jc w:val="left"/>
    </w:pPr>
    <w:rPr>
      <w:rFonts w:cs="Times New Roman"/>
      <w:bCs/>
      <w:spacing w:val="10"/>
      <w:kern w:val="0"/>
      <w:sz w:val="24"/>
      <w:szCs w:val="20"/>
    </w:rPr>
  </w:style>
  <w:style w:type="paragraph" w:customStyle="1" w:styleId="19">
    <w:name w:val="题注4"/>
    <w:basedOn w:val="1"/>
    <w:next w:val="4"/>
    <w:uiPriority w:val="0"/>
    <w:pPr>
      <w:snapToGrid w:val="0"/>
      <w:spacing w:line="360" w:lineRule="auto"/>
      <w:ind w:left="480" w:leftChars="29" w:right="-108" w:hanging="419" w:hangingChars="174"/>
      <w:jc w:val="center"/>
    </w:pPr>
    <w:rPr>
      <w:rFonts w:ascii="Times New Roman" w:hAnsi="Times New Roman" w:cs="Times New Roman"/>
      <w:b/>
      <w:bCs/>
      <w:color w:val="000000"/>
      <w:szCs w:val="21"/>
      <w:lang w:val="en-G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1485</Words>
  <Characters>1516</Characters>
  <Lines>97</Lines>
  <Paragraphs>27</Paragraphs>
  <TotalTime>323</TotalTime>
  <ScaleCrop>false</ScaleCrop>
  <LinksUpToDate>false</LinksUpToDate>
  <CharactersWithSpaces>1519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2025-04-16T01:38:00Z</dcterms:created>
  <dc:creator>8237403286</dc:creator>
  <cp:lastModifiedBy>Lam Song✌</cp:lastModifiedBy>
  <dcterms:modified xsi:type="dcterms:W3CDTF">2025-04-16T09:36:17Z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eyJoZGlkIjoiNzYzM2QwN2Q4NjNkOGQxMDY4MmJiYzc4NDAwODdmOWYiLCJ1c2VySWQiOiIyMTkwMjIyMzcifQ==</vt:lpwstr>
  </property>
  <property fmtid="{D5CDD505-2E9C-101B-9397-08002B2CF9AE}" pid="4" name="ICV">
    <vt:lpwstr>0E35FD4D1BF54BAAAFB2D97394AA6864_13</vt:lpwstr>
  </property>
</Properties>
</file>