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32"/>
          <w:szCs w:val="24"/>
        </w:rPr>
      </w:pPr>
      <w:r>
        <w:rPr>
          <w:rFonts w:hint="eastAsia" w:ascii="宋体" w:hAnsi="宋体" w:eastAsia="宋体"/>
          <w:b/>
          <w:sz w:val="32"/>
          <w:szCs w:val="24"/>
        </w:rPr>
        <w:t>珠海市中西医结合医院公务车维修年度服务供应商采购项目用户需求</w:t>
      </w:r>
    </w:p>
    <w:p>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一、招标概况</w:t>
      </w:r>
    </w:p>
    <w:p>
      <w:pPr>
        <w:autoSpaceDE w:val="0"/>
        <w:autoSpaceDN w:val="0"/>
        <w:adjustRightInd w:val="0"/>
        <w:spacing w:line="360" w:lineRule="auto"/>
        <w:jc w:val="left"/>
        <w:rPr>
          <w:rFonts w:ascii="宋体" w:hAnsi="宋体" w:eastAsia="宋体"/>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、项目名称：</w:t>
      </w:r>
      <w:r>
        <w:rPr>
          <w:rFonts w:hint="eastAsia" w:ascii="宋体" w:hAnsi="宋体" w:eastAsia="宋体"/>
          <w:sz w:val="24"/>
          <w:szCs w:val="24"/>
        </w:rPr>
        <w:t>珠海市中西医结合医院公务车维修年度服务供应商采购项目。</w:t>
      </w:r>
    </w:p>
    <w:p>
      <w:pPr>
        <w:autoSpaceDE w:val="0"/>
        <w:autoSpaceDN w:val="0"/>
        <w:adjustRightInd w:val="0"/>
        <w:spacing w:line="360" w:lineRule="auto"/>
        <w:jc w:val="left"/>
        <w:rPr>
          <w:rFonts w:ascii="宋体" w:hAnsi="宋体" w:eastAsia="宋体"/>
          <w:sz w:val="24"/>
          <w:szCs w:val="24"/>
        </w:rPr>
      </w:pPr>
      <w:r>
        <w:rPr>
          <w:rFonts w:ascii="宋体" w:hAnsi="宋体" w:eastAsia="宋体" w:cs="宋体"/>
          <w:kern w:val="0"/>
          <w:sz w:val="24"/>
          <w:szCs w:val="24"/>
        </w:rPr>
        <w:t>2</w:t>
      </w:r>
      <w:r>
        <w:rPr>
          <w:rFonts w:hint="eastAsia" w:ascii="宋体" w:hAnsi="宋体" w:eastAsia="宋体" w:cs="宋体"/>
          <w:kern w:val="0"/>
          <w:sz w:val="24"/>
          <w:szCs w:val="24"/>
        </w:rPr>
        <w:t>、服务范围</w:t>
      </w:r>
      <w:r>
        <w:rPr>
          <w:rFonts w:hint="eastAsia" w:ascii="宋体" w:hAnsi="宋体" w:eastAsia="宋体"/>
          <w:sz w:val="24"/>
          <w:szCs w:val="24"/>
        </w:rPr>
        <w:t>：包括汽车的整车维修、总成维修、二级维修、一级维修及小修、专项维修、车辆日常保养、车险理赔等项目。</w:t>
      </w:r>
    </w:p>
    <w:p>
      <w:pPr>
        <w:widowControl/>
        <w:tabs>
          <w:tab w:val="left" w:pos="780"/>
        </w:tabs>
        <w:adjustRightInd w:val="0"/>
        <w:snapToGrid w:val="0"/>
        <w:spacing w:line="360" w:lineRule="auto"/>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、预算金额：以具体结算为准。维修收费计价公式：维修费总金额=工时定额×工时单价＋材料进货价×（1＋材料管理费率）＋外加工费×（1＋外加工管理费率）。</w:t>
      </w:r>
    </w:p>
    <w:p>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4、服务期限：自合同签订之日起1</w:t>
      </w:r>
      <w:r>
        <w:rPr>
          <w:rFonts w:hint="eastAsia" w:ascii="宋体" w:hAnsi="宋体" w:eastAsia="宋体" w:cs="宋体"/>
          <w:kern w:val="0"/>
          <w:sz w:val="24"/>
          <w:szCs w:val="24"/>
          <w:lang w:val="en-US" w:eastAsia="zh-CN"/>
        </w:rPr>
        <w:t>+1模式</w:t>
      </w:r>
      <w:r>
        <w:rPr>
          <w:rFonts w:hint="eastAsia" w:ascii="宋体" w:hAnsi="宋体" w:eastAsia="宋体" w:cs="宋体"/>
          <w:kern w:val="0"/>
          <w:sz w:val="24"/>
          <w:szCs w:val="24"/>
        </w:rPr>
        <w:t>。</w:t>
      </w:r>
    </w:p>
    <w:p>
      <w:pPr>
        <w:autoSpaceDE w:val="0"/>
        <w:autoSpaceDN w:val="0"/>
        <w:adjustRightInd w:val="0"/>
        <w:spacing w:line="360" w:lineRule="auto"/>
        <w:jc w:val="left"/>
        <w:rPr>
          <w:rFonts w:ascii="宋体" w:hAnsi="宋体" w:eastAsia="宋体" w:cs="宋体"/>
          <w:color w:val="FF0000"/>
          <w:kern w:val="0"/>
          <w:sz w:val="24"/>
          <w:szCs w:val="24"/>
        </w:rPr>
      </w:pPr>
    </w:p>
    <w:p>
      <w:pPr>
        <w:pStyle w:val="2"/>
        <w:snapToGrid w:val="0"/>
        <w:ind w:left="819" w:leftChars="1" w:hanging="817" w:hangingChars="339"/>
        <w:rPr>
          <w:rFonts w:cs="宋体"/>
          <w:b/>
          <w:sz w:val="24"/>
        </w:rPr>
      </w:pPr>
      <w:r>
        <w:rPr>
          <w:rFonts w:hint="eastAsia" w:cs="宋体"/>
          <w:b/>
          <w:sz w:val="24"/>
        </w:rPr>
        <w:t>二、投标人资质要求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1、投标人需持有有效的营业执照，需提交企业法人营业执照副本复印件（加盖公章）、法人资格证明书/法人授权委托书。</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2、投标人须持有有效的机动车维修企业资质证（一类或二类）。</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4、本项目不接受联合体投标，不允许分包、转包。</w:t>
      </w:r>
    </w:p>
    <w:p>
      <w:pPr>
        <w:autoSpaceDE w:val="0"/>
        <w:autoSpaceDN w:val="0"/>
        <w:adjustRightInd w:val="0"/>
        <w:spacing w:line="360" w:lineRule="auto"/>
        <w:jc w:val="left"/>
        <w:rPr>
          <w:rFonts w:ascii="宋体" w:hAnsi="宋体" w:eastAsia="宋体" w:cs="宋体"/>
          <w:color w:val="000000"/>
          <w:kern w:val="0"/>
          <w:sz w:val="24"/>
          <w:szCs w:val="24"/>
        </w:rPr>
      </w:pPr>
    </w:p>
    <w:p>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三、项目需求</w:t>
      </w:r>
    </w:p>
    <w:p>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（一）汽车维修的服务要求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1、投标的车辆维修服务企业必须自觉遵守国家法律、法规，合法经营。严格按照2019年6月21日交通运输部修订的</w:t>
      </w:r>
      <w:bookmarkStart w:id="0" w:name="_GoBack"/>
      <w:bookmarkEnd w:id="0"/>
      <w:r>
        <w:rPr>
          <w:rFonts w:hint="eastAsia" w:ascii="宋体" w:hAnsi="宋体" w:eastAsia="宋体" w:cs="宋体"/>
          <w:color w:val="000000"/>
          <w:kern w:val="0"/>
          <w:sz w:val="24"/>
          <w:szCs w:val="24"/>
        </w:rPr>
        <w:t>《机动车维修管理规定》等有关技术标准和汽车维修工艺规范实施服务，确保维修质量。</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2、严格履行各项服务承诺，投标单位无条件接受由采购方定期或不定期对其履约情况进行的监督、检查。</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设置公务车辆维修专门接待柜台，有专人提供从接车到验车出厂的全过程服务。为公务车提供优先服务，确保在规定的时限内完成维修服务，保障车辆单位用车需要，并利用计算机为送修的公务车辆分车建立维修档案，向采购方提供有关车辆维修的档案信息。</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提供电话预约、上门服务、急修快修、救援、24小时服务、免费拖车等服务。在珠海市行政区域内车辆发生故障需急修的，应及时派员抢修。给予公务车在珠海市行政范围内免费提供2小时内响应、24小时拖车服务以及免费接送维修服务。全年保障我院车辆维修服务，不得以节假日名义拒绝我院车辆维修需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所采用的零部件、配件等材料必须符合国家或部颁标准，不得使用假冒伪劣产品或以次充好，以旧顶新。特殊情况下，经送修人同意，在保证质量的前提下，可以用旧件，但汽车修理企业必须在材料清单中注明为旧件。</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7、妥善保管好更换的旧件，出厂时交送修方处理，未经送修方同意不得擅自丢弃。对可以维修的部件，不得以换代修；不得与任何人串通，虚假修车或虚报维修项目，损害采购方或车属单位的利益。</w:t>
      </w:r>
    </w:p>
    <w:p>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kern w:val="0"/>
          <w:sz w:val="24"/>
          <w:szCs w:val="24"/>
        </w:rPr>
        <w:t>送修单和结算单必须明确注明质量保质期、入厂时间、行驶里程等项目。</w:t>
      </w:r>
    </w:p>
    <w:p>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9、必须将相关资料统一整理备查，资料包括：送修单、报价单、施工单、结算单、竣工出厂合格证和满意度评价表等。</w:t>
      </w:r>
    </w:p>
    <w:p>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10、在行政车故障维修时提供备用车周转服务，且应急电话报备院方2个以上。</w:t>
      </w:r>
    </w:p>
    <w:p>
      <w:pPr>
        <w:autoSpaceDE w:val="0"/>
        <w:autoSpaceDN w:val="0"/>
        <w:adjustRightInd w:val="0"/>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11、为我院车辆保养提供跟踪提醒服务，每月末告知我院下月需保养车辆。</w:t>
      </w:r>
    </w:p>
    <w:p>
      <w:pPr>
        <w:autoSpaceDE w:val="0"/>
        <w:autoSpaceDN w:val="0"/>
        <w:adjustRightInd w:val="0"/>
        <w:spacing w:line="360" w:lineRule="auto"/>
        <w:jc w:val="left"/>
        <w:rPr>
          <w:rFonts w:ascii="宋体" w:hAnsi="宋体" w:eastAsia="宋体" w:cs="宋体"/>
          <w:color w:val="FF0000"/>
          <w:kern w:val="0"/>
          <w:sz w:val="24"/>
          <w:szCs w:val="24"/>
        </w:rPr>
      </w:pPr>
    </w:p>
    <w:p>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（二）汽车维修的结算要求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1、必须进行汽车维修、档案材料的管理。</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维修项目、配件等材料更换必须事先征得送修人同意方可进行维修换件。在维修过程中新增加或变更维修项目、配件材料的，也应事先征得送修人同意，双方就加项延长时间及维修费用等问题进行商定。修车更换下来的旧件要退还送修人，并在委托维修单上认真填写车辆维修的具体部位和消耗材料、部件及计价情况。</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结算收费时，必须使用电脑打印结算清单，必须标明维修项目名称、工时定额、工时单价、材料进货价（必须标明正厂还是副厂）、材料管理费率、外加工费、外加工管理费率，应将修理项目的工时费、材料费、外加工费分列清楚。</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对公务车辆的维修结算，一律使用月末结算，并严格对车辆维修、结算。除维修结算外，对竣工的送修车辆，严格核对送修单、结算单、车号，核对无误后，月末方可结算。不可提前结算或弄虚作假，原始修理清单及相关档案要妥善保管，以备查验。</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对竣工车辆，如发现不合格,送修单位有权要求维修企业无偿维修至合格；如与“送修单”上项目不符，又未征求送修单位或采购方同意，送修单位或采购方有权拒付维修费或要求投标单位支付相当于当次修理费用总额30％的违约金。</w:t>
      </w:r>
    </w:p>
    <w:p>
      <w:pPr>
        <w:autoSpaceDE w:val="0"/>
        <w:autoSpaceDN w:val="0"/>
        <w:adjustRightInd w:val="0"/>
        <w:spacing w:line="360" w:lineRule="auto"/>
        <w:jc w:val="left"/>
        <w:rPr>
          <w:rFonts w:ascii="宋体" w:hAnsi="宋体" w:eastAsia="宋体" w:cs="宋体"/>
          <w:color w:val="000000"/>
          <w:kern w:val="0"/>
          <w:sz w:val="24"/>
          <w:szCs w:val="24"/>
        </w:rPr>
      </w:pPr>
    </w:p>
    <w:p>
      <w:pPr>
        <w:autoSpaceDE w:val="0"/>
        <w:autoSpaceDN w:val="0"/>
        <w:adjustRightInd w:val="0"/>
        <w:spacing w:line="360" w:lineRule="auto"/>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（三）汽车维修的质量要求</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经修车辆达不到规定的质量标准和技术要求的，返修的车辆不得再计价收费。车辆竣工出厂执行质量保证期制度，竣工车辆出厂后正常保养、合理使用的情况下，“大修”的车辆保证正常行驶20000公里或100天内无故障；二级维护保证正常行驶5000公里或30天内无故障；一级维护、小修及专项修理保证正常行驶2000公里或10天内无故障（质量保证期中行驶里程和日期指标，以先达到者为准）。</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2、质量保证期内发生因维修质量引发的故障，承修的汽车修理厂必须优先免费修理。严格执行汽车维修技术控验制度，车辆返修率要控制在3%以内，并建立汽车维修档案，认真记录车辆维修情况。</w:t>
      </w:r>
    </w:p>
    <w:p>
      <w:pPr>
        <w:autoSpaceDE w:val="0"/>
        <w:autoSpaceDN w:val="0"/>
        <w:adjustRightInd w:val="0"/>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3、在质量保证期内，车辆因同一故障或维修项目经两次修理仍不能正常使用的，承修的汽车修理厂应当负责联系其他维修厂，并承担相应修理费用。</w:t>
      </w:r>
    </w:p>
    <w:sectPr>
      <w:pgSz w:w="11906" w:h="16838"/>
      <w:pgMar w:top="113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CF1457"/>
    <w:rsid w:val="00030732"/>
    <w:rsid w:val="00042513"/>
    <w:rsid w:val="00075292"/>
    <w:rsid w:val="000774E2"/>
    <w:rsid w:val="00095F4F"/>
    <w:rsid w:val="000A17D8"/>
    <w:rsid w:val="000D3A43"/>
    <w:rsid w:val="000D5C8B"/>
    <w:rsid w:val="00127C06"/>
    <w:rsid w:val="001A26C0"/>
    <w:rsid w:val="001E734A"/>
    <w:rsid w:val="00240F80"/>
    <w:rsid w:val="002652C9"/>
    <w:rsid w:val="0028420F"/>
    <w:rsid w:val="00294069"/>
    <w:rsid w:val="002A1D5A"/>
    <w:rsid w:val="002C3FAA"/>
    <w:rsid w:val="002C4F3C"/>
    <w:rsid w:val="00344032"/>
    <w:rsid w:val="003A5708"/>
    <w:rsid w:val="003E2177"/>
    <w:rsid w:val="003E3E56"/>
    <w:rsid w:val="00407422"/>
    <w:rsid w:val="0045668C"/>
    <w:rsid w:val="00473AFA"/>
    <w:rsid w:val="004F5EEC"/>
    <w:rsid w:val="00515966"/>
    <w:rsid w:val="0056271D"/>
    <w:rsid w:val="005B18BB"/>
    <w:rsid w:val="005C123E"/>
    <w:rsid w:val="005E03EE"/>
    <w:rsid w:val="00604204"/>
    <w:rsid w:val="0060741E"/>
    <w:rsid w:val="006130A2"/>
    <w:rsid w:val="00631AD7"/>
    <w:rsid w:val="00687C57"/>
    <w:rsid w:val="006D0C35"/>
    <w:rsid w:val="006D2D4B"/>
    <w:rsid w:val="006F5D5D"/>
    <w:rsid w:val="007001ED"/>
    <w:rsid w:val="00747A7F"/>
    <w:rsid w:val="00771473"/>
    <w:rsid w:val="00776128"/>
    <w:rsid w:val="00776C83"/>
    <w:rsid w:val="007C2A9E"/>
    <w:rsid w:val="007D742A"/>
    <w:rsid w:val="007F0EE9"/>
    <w:rsid w:val="007F5663"/>
    <w:rsid w:val="00812F16"/>
    <w:rsid w:val="00892A9E"/>
    <w:rsid w:val="008F0050"/>
    <w:rsid w:val="009208B4"/>
    <w:rsid w:val="00953216"/>
    <w:rsid w:val="009600F7"/>
    <w:rsid w:val="009669A8"/>
    <w:rsid w:val="00977589"/>
    <w:rsid w:val="009B1266"/>
    <w:rsid w:val="009B60DE"/>
    <w:rsid w:val="009F2ADD"/>
    <w:rsid w:val="009F6C9D"/>
    <w:rsid w:val="00A10D24"/>
    <w:rsid w:val="00A131D8"/>
    <w:rsid w:val="00A4295A"/>
    <w:rsid w:val="00AE7222"/>
    <w:rsid w:val="00B01AB2"/>
    <w:rsid w:val="00B04E40"/>
    <w:rsid w:val="00B8586A"/>
    <w:rsid w:val="00B9608D"/>
    <w:rsid w:val="00BA71E0"/>
    <w:rsid w:val="00C06D86"/>
    <w:rsid w:val="00C23C27"/>
    <w:rsid w:val="00C25288"/>
    <w:rsid w:val="00C56BC5"/>
    <w:rsid w:val="00C6601E"/>
    <w:rsid w:val="00C8213B"/>
    <w:rsid w:val="00CA0391"/>
    <w:rsid w:val="00CF1457"/>
    <w:rsid w:val="00CF4E98"/>
    <w:rsid w:val="00D57B02"/>
    <w:rsid w:val="00DB10D2"/>
    <w:rsid w:val="00DB18DA"/>
    <w:rsid w:val="00E30DB0"/>
    <w:rsid w:val="00E508D7"/>
    <w:rsid w:val="00E56B50"/>
    <w:rsid w:val="00E81286"/>
    <w:rsid w:val="00EE05BD"/>
    <w:rsid w:val="00EF45F0"/>
    <w:rsid w:val="00F05535"/>
    <w:rsid w:val="00F45386"/>
    <w:rsid w:val="00F569FD"/>
    <w:rsid w:val="00F61A03"/>
    <w:rsid w:val="00F93F14"/>
    <w:rsid w:val="00FC0DD8"/>
    <w:rsid w:val="00FC33ED"/>
    <w:rsid w:val="017E3F18"/>
    <w:rsid w:val="05607C8C"/>
    <w:rsid w:val="0588337D"/>
    <w:rsid w:val="061F3696"/>
    <w:rsid w:val="06CC2996"/>
    <w:rsid w:val="0DE92374"/>
    <w:rsid w:val="156D37A6"/>
    <w:rsid w:val="26FE5336"/>
    <w:rsid w:val="335A5AB0"/>
    <w:rsid w:val="38C30665"/>
    <w:rsid w:val="3D1E66C5"/>
    <w:rsid w:val="41CF5BD3"/>
    <w:rsid w:val="4B550AF0"/>
    <w:rsid w:val="530E3B1A"/>
    <w:rsid w:val="55A013D9"/>
    <w:rsid w:val="563F5E3E"/>
    <w:rsid w:val="578C3305"/>
    <w:rsid w:val="64173B8F"/>
    <w:rsid w:val="6C5A1ABD"/>
    <w:rsid w:val="6CC76E0C"/>
    <w:rsid w:val="73CC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autoRedefine/>
    <w:qFormat/>
    <w:uiPriority w:val="0"/>
    <w:pPr>
      <w:spacing w:line="360" w:lineRule="auto"/>
      <w:ind w:left="716" w:leftChars="341" w:firstLine="2"/>
    </w:pPr>
    <w:rPr>
      <w:rFonts w:ascii="宋体" w:hAnsi="宋体" w:eastAsia="宋体" w:cs="Times New Roman"/>
      <w:bCs/>
      <w:szCs w:val="24"/>
    </w:r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autoRedefine/>
    <w:qFormat/>
    <w:uiPriority w:val="0"/>
    <w:rPr>
      <w:rFonts w:ascii="宋体" w:hAnsi="宋体" w:eastAsia="宋体" w:cs="Times New Roman"/>
      <w:bCs/>
      <w:szCs w:val="24"/>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2267</Words>
  <Characters>2361</Characters>
  <Lines>16</Lines>
  <Paragraphs>4</Paragraphs>
  <TotalTime>41</TotalTime>
  <ScaleCrop>false</ScaleCrop>
  <LinksUpToDate>false</LinksUpToDate>
  <CharactersWithSpaces>2362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郑</cp:lastModifiedBy>
  <cp:lastPrinted>2021-04-20T06:34:00Z</cp:lastPrinted>
  <dcterms:modified xsi:type="dcterms:W3CDTF">2024-06-04T00:26:49Z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82A49C8BA90D4BCEBA69791FE7B7195F_13</vt:lpwstr>
  </property>
</Properties>
</file>